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contextualSpacing/>
        <w:jc w:val="left"/>
        <w:rPr>
          <w:rFonts w:ascii="宋体" w:hAnsi="宋体" w:cs="仿宋"/>
          <w:b/>
          <w:sz w:val="52"/>
          <w:szCs w:val="52"/>
        </w:rPr>
      </w:pPr>
    </w:p>
    <w:p>
      <w:pPr>
        <w:contextualSpacing/>
        <w:jc w:val="center"/>
        <w:rPr>
          <w:rFonts w:ascii="宋体" w:hAnsi="宋体" w:cs="仿宋"/>
          <w:b/>
          <w:sz w:val="52"/>
          <w:szCs w:val="52"/>
        </w:rPr>
      </w:pPr>
      <w:r>
        <w:rPr>
          <w:rFonts w:hint="eastAsia" w:ascii="宋体" w:hAnsi="宋体" w:cs="仿宋"/>
          <w:b/>
          <w:sz w:val="52"/>
          <w:szCs w:val="52"/>
        </w:rPr>
        <w:t>投资黄山数智化平台</w:t>
      </w:r>
    </w:p>
    <w:p>
      <w:pPr>
        <w:contextualSpacing/>
        <w:jc w:val="center"/>
        <w:rPr>
          <w:rFonts w:ascii="宋体" w:hAnsi="宋体" w:cs="仿宋"/>
          <w:b/>
          <w:sz w:val="52"/>
          <w:szCs w:val="52"/>
        </w:rPr>
      </w:pPr>
      <w:r>
        <w:rPr>
          <w:rFonts w:hint="eastAsia" w:ascii="宋体" w:hAnsi="宋体" w:cs="仿宋"/>
          <w:b/>
          <w:sz w:val="52"/>
          <w:szCs w:val="52"/>
        </w:rPr>
        <w:t>网络安全等级保护测评服务项目</w:t>
      </w:r>
    </w:p>
    <w:p>
      <w:pPr>
        <w:contextualSpacing/>
        <w:jc w:val="center"/>
        <w:rPr>
          <w:rFonts w:ascii="宋体" w:hAnsi="宋体" w:cs="仿宋"/>
          <w:b/>
          <w:sz w:val="52"/>
          <w:szCs w:val="52"/>
        </w:rPr>
      </w:pPr>
    </w:p>
    <w:p>
      <w:pPr>
        <w:contextualSpacing/>
        <w:jc w:val="center"/>
        <w:rPr>
          <w:rFonts w:ascii="宋体" w:hAnsi="宋体" w:cs="仿宋"/>
          <w:b/>
          <w:sz w:val="52"/>
          <w:szCs w:val="52"/>
        </w:rPr>
      </w:pPr>
      <w:r>
        <w:rPr>
          <w:rFonts w:hint="eastAsia" w:ascii="宋体" w:hAnsi="宋体" w:cs="仿宋"/>
          <w:b/>
          <w:sz w:val="52"/>
          <w:szCs w:val="52"/>
        </w:rPr>
        <w:t>竞争性磋商</w:t>
      </w:r>
      <w:r>
        <w:rPr>
          <w:rFonts w:ascii="宋体" w:hAnsi="宋体" w:cs="仿宋"/>
          <w:b/>
          <w:sz w:val="52"/>
          <w:szCs w:val="52"/>
        </w:rPr>
        <w:t>文件</w:t>
      </w: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z w:val="36"/>
          <w:szCs w:val="36"/>
        </w:rPr>
      </w:pPr>
      <w:r>
        <w:rPr>
          <w:rFonts w:ascii="宋体" w:hAnsi="宋体" w:cs="仿宋"/>
          <w:sz w:val="36"/>
          <w:szCs w:val="36"/>
        </w:rPr>
        <w:t>招标人：</w:t>
      </w:r>
      <w:r>
        <w:rPr>
          <w:rFonts w:hint="eastAsia" w:ascii="宋体" w:hAnsi="宋体" w:cs="仿宋"/>
          <w:sz w:val="36"/>
          <w:szCs w:val="36"/>
        </w:rPr>
        <w:t>黄山市投资促进局</w:t>
      </w:r>
    </w:p>
    <w:p>
      <w:pPr>
        <w:contextualSpacing/>
        <w:jc w:val="center"/>
        <w:rPr>
          <w:rFonts w:ascii="宋体" w:hAnsi="宋体" w:cs="仿宋"/>
          <w:sz w:val="36"/>
          <w:szCs w:val="36"/>
        </w:rPr>
      </w:pPr>
    </w:p>
    <w:p>
      <w:pPr>
        <w:contextualSpacing/>
        <w:jc w:val="center"/>
        <w:rPr>
          <w:rFonts w:ascii="宋体" w:hAnsi="宋体" w:cs="仿宋"/>
          <w:sz w:val="36"/>
          <w:szCs w:val="36"/>
        </w:rPr>
      </w:pPr>
    </w:p>
    <w:p>
      <w:pPr>
        <w:contextualSpacing/>
        <w:jc w:val="center"/>
        <w:rPr>
          <w:rFonts w:ascii="宋体" w:hAnsi="宋体" w:cs="仿宋"/>
          <w:sz w:val="36"/>
          <w:szCs w:val="36"/>
        </w:rPr>
      </w:pPr>
      <w:r>
        <w:rPr>
          <w:rFonts w:ascii="宋体" w:hAnsi="宋体" w:cs="仿宋"/>
          <w:sz w:val="36"/>
          <w:szCs w:val="36"/>
        </w:rPr>
        <w:t>2023年</w:t>
      </w:r>
      <w:r>
        <w:rPr>
          <w:rFonts w:hint="eastAsia" w:ascii="宋体" w:hAnsi="宋体" w:cs="仿宋"/>
          <w:sz w:val="36"/>
          <w:szCs w:val="36"/>
          <w:lang w:val="en-US" w:eastAsia="zh-CN"/>
        </w:rPr>
        <w:t>12</w:t>
      </w:r>
      <w:r>
        <w:rPr>
          <w:rFonts w:ascii="宋体" w:hAnsi="宋体" w:cs="仿宋"/>
          <w:sz w:val="36"/>
          <w:szCs w:val="36"/>
        </w:rPr>
        <w:t>月</w:t>
      </w:r>
      <w:r>
        <w:rPr>
          <w:rFonts w:hint="eastAsia" w:ascii="宋体" w:hAnsi="宋体" w:cs="仿宋"/>
          <w:sz w:val="36"/>
          <w:szCs w:val="36"/>
          <w:lang w:val="en-US" w:eastAsia="zh-CN"/>
        </w:rPr>
        <w:t>7</w:t>
      </w:r>
      <w:r>
        <w:rPr>
          <w:rFonts w:ascii="宋体" w:hAnsi="宋体" w:cs="仿宋"/>
          <w:sz w:val="36"/>
          <w:szCs w:val="36"/>
        </w:rPr>
        <w:t>日</w:t>
      </w:r>
    </w:p>
    <w:sdt>
      <w:sdtPr>
        <w:rPr>
          <w:rFonts w:ascii="宋体" w:hAnsi="宋体" w:eastAsia="宋体" w:cstheme="minorBidi"/>
          <w:color w:val="auto"/>
          <w:kern w:val="2"/>
          <w:sz w:val="24"/>
          <w:szCs w:val="21"/>
          <w:lang w:val="zh-CN"/>
        </w:rPr>
        <w:id w:val="53666707"/>
        <w:docPartObj>
          <w:docPartGallery w:val="Table of Contents"/>
          <w:docPartUnique/>
        </w:docPartObj>
      </w:sdtPr>
      <w:sdtEndPr>
        <w:rPr>
          <w:rFonts w:ascii="宋体" w:hAnsi="宋体" w:eastAsia="宋体" w:cstheme="minorBidi"/>
          <w:b/>
          <w:bCs/>
          <w:color w:val="auto"/>
          <w:kern w:val="2"/>
          <w:sz w:val="24"/>
          <w:szCs w:val="21"/>
          <w:lang w:val="zh-CN"/>
        </w:rPr>
      </w:sdtEndPr>
      <w:sdtContent>
        <w:p>
          <w:pPr>
            <w:pStyle w:val="59"/>
            <w:keepNext w:val="0"/>
            <w:keepLines w:val="0"/>
            <w:pageBreakBefore/>
            <w:widowControl w:val="0"/>
            <w:spacing w:after="360"/>
            <w:rPr>
              <w:rFonts w:ascii="宋体" w:hAnsi="宋体" w:eastAsia="宋体"/>
            </w:rPr>
          </w:pPr>
          <w:r>
            <w:rPr>
              <w:rFonts w:ascii="宋体" w:hAnsi="宋体" w:eastAsia="宋体"/>
              <w:lang w:val="zh-CN"/>
            </w:rPr>
            <w:t>目录</w:t>
          </w:r>
        </w:p>
        <w:p>
          <w:pPr>
            <w:pStyle w:val="23"/>
            <w:tabs>
              <w:tab w:val="right" w:leader="dot" w:pos="9736"/>
            </w:tabs>
            <w:rPr>
              <w:rFonts w:ascii="宋体" w:hAnsi="宋体"/>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"_Toc116304839" </w:instrText>
          </w:r>
          <w:r>
            <w:fldChar w:fldCharType="separate"/>
          </w:r>
          <w:r>
            <w:rPr>
              <w:rStyle w:val="34"/>
              <w:rFonts w:ascii="宋体" w:hAnsi="宋体"/>
            </w:rPr>
            <w:t>第一章 招标公告</w:t>
          </w:r>
          <w:r>
            <w:rPr>
              <w:rFonts w:ascii="宋体" w:hAnsi="宋体"/>
            </w:rPr>
            <w:tab/>
          </w:r>
          <w:r>
            <w:rPr>
              <w:rFonts w:ascii="宋体" w:hAnsi="宋体"/>
            </w:rPr>
            <w:fldChar w:fldCharType="begin"/>
          </w:r>
          <w:r>
            <w:rPr>
              <w:rFonts w:ascii="宋体" w:hAnsi="宋体"/>
            </w:rPr>
            <w:instrText xml:space="preserve"> PAGEREF _Toc116304839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"_Toc116304840" </w:instrText>
          </w:r>
          <w:r>
            <w:fldChar w:fldCharType="separate"/>
          </w:r>
          <w:r>
            <w:rPr>
              <w:rStyle w:val="34"/>
              <w:rFonts w:ascii="宋体" w:hAnsi="宋体"/>
            </w:rPr>
            <w:t>一、 招标方式</w:t>
          </w:r>
          <w:r>
            <w:rPr>
              <w:rFonts w:ascii="宋体" w:hAnsi="宋体"/>
            </w:rPr>
            <w:tab/>
          </w:r>
          <w:r>
            <w:rPr>
              <w:rFonts w:ascii="宋体" w:hAnsi="宋体"/>
            </w:rPr>
            <w:fldChar w:fldCharType="begin"/>
          </w:r>
          <w:r>
            <w:rPr>
              <w:rFonts w:ascii="宋体" w:hAnsi="宋体"/>
            </w:rPr>
            <w:instrText xml:space="preserve"> PAGEREF _Toc116304840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"_Toc116304841" </w:instrText>
          </w:r>
          <w:r>
            <w:fldChar w:fldCharType="separate"/>
          </w:r>
          <w:r>
            <w:rPr>
              <w:rStyle w:val="34"/>
              <w:rFonts w:ascii="宋体" w:hAnsi="宋体"/>
            </w:rPr>
            <w:t>二、 项目概况</w:t>
          </w:r>
          <w:r>
            <w:rPr>
              <w:rFonts w:ascii="宋体" w:hAnsi="宋体"/>
            </w:rPr>
            <w:tab/>
          </w:r>
          <w:r>
            <w:rPr>
              <w:rFonts w:ascii="宋体" w:hAnsi="宋体"/>
            </w:rPr>
            <w:fldChar w:fldCharType="begin"/>
          </w:r>
          <w:r>
            <w:rPr>
              <w:rFonts w:ascii="宋体" w:hAnsi="宋体"/>
            </w:rPr>
            <w:instrText xml:space="preserve"> PAGEREF _Toc116304841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"_Toc116304842" </w:instrText>
          </w:r>
          <w:r>
            <w:fldChar w:fldCharType="separate"/>
          </w:r>
          <w:r>
            <w:rPr>
              <w:rStyle w:val="34"/>
              <w:rFonts w:ascii="宋体" w:hAnsi="宋体"/>
            </w:rPr>
            <w:t>1. 项目系统、等级</w:t>
          </w:r>
          <w:r>
            <w:rPr>
              <w:rFonts w:ascii="宋体" w:hAnsi="宋体"/>
            </w:rPr>
            <w:tab/>
          </w:r>
          <w:r>
            <w:rPr>
              <w:rFonts w:ascii="宋体" w:hAnsi="宋体"/>
            </w:rPr>
            <w:fldChar w:fldCharType="begin"/>
          </w:r>
          <w:r>
            <w:rPr>
              <w:rFonts w:ascii="宋体" w:hAnsi="宋体"/>
            </w:rPr>
            <w:instrText xml:space="preserve"> PAGEREF _Toc116304842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"_Toc116304843" </w:instrText>
          </w:r>
          <w:r>
            <w:fldChar w:fldCharType="separate"/>
          </w:r>
          <w:r>
            <w:rPr>
              <w:rStyle w:val="34"/>
              <w:rFonts w:ascii="宋体" w:hAnsi="宋体"/>
            </w:rPr>
            <w:t>2. 项目内容：</w:t>
          </w:r>
          <w:r>
            <w:rPr>
              <w:rFonts w:ascii="宋体" w:hAnsi="宋体"/>
            </w:rPr>
            <w:tab/>
          </w:r>
          <w:r>
            <w:rPr>
              <w:rFonts w:ascii="宋体" w:hAnsi="宋体"/>
            </w:rPr>
            <w:fldChar w:fldCharType="begin"/>
          </w:r>
          <w:r>
            <w:rPr>
              <w:rFonts w:ascii="宋体" w:hAnsi="宋体"/>
            </w:rPr>
            <w:instrText xml:space="preserve"> PAGEREF _Toc116304843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"_Toc116304844" </w:instrText>
          </w:r>
          <w:r>
            <w:fldChar w:fldCharType="separate"/>
          </w:r>
          <w:r>
            <w:rPr>
              <w:rStyle w:val="34"/>
              <w:rFonts w:ascii="宋体" w:hAnsi="宋体"/>
            </w:rPr>
            <w:t>3. 其他相关要求</w:t>
          </w:r>
          <w:r>
            <w:rPr>
              <w:rFonts w:ascii="宋体" w:hAnsi="宋体"/>
            </w:rPr>
            <w:tab/>
          </w:r>
          <w:r>
            <w:rPr>
              <w:rFonts w:ascii="宋体" w:hAnsi="宋体"/>
            </w:rPr>
            <w:fldChar w:fldCharType="begin"/>
          </w:r>
          <w:r>
            <w:rPr>
              <w:rFonts w:ascii="宋体" w:hAnsi="宋体"/>
            </w:rPr>
            <w:instrText xml:space="preserve"> PAGEREF _Toc116304844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"_Toc116304845" </w:instrText>
          </w:r>
          <w:r>
            <w:fldChar w:fldCharType="separate"/>
          </w:r>
          <w:r>
            <w:rPr>
              <w:rStyle w:val="34"/>
              <w:rFonts w:ascii="宋体" w:hAnsi="宋体"/>
            </w:rPr>
            <w:t>三、 投标人资格要求</w:t>
          </w:r>
          <w:r>
            <w:rPr>
              <w:rFonts w:ascii="宋体" w:hAnsi="宋体"/>
            </w:rPr>
            <w:tab/>
          </w:r>
          <w:r>
            <w:rPr>
              <w:rFonts w:ascii="宋体" w:hAnsi="宋体"/>
            </w:rPr>
            <w:fldChar w:fldCharType="begin"/>
          </w:r>
          <w:r>
            <w:rPr>
              <w:rFonts w:ascii="宋体" w:hAnsi="宋体"/>
            </w:rPr>
            <w:instrText xml:space="preserve"> PAGEREF _Toc116304845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"_Toc116304846" </w:instrText>
          </w:r>
          <w:r>
            <w:fldChar w:fldCharType="separate"/>
          </w:r>
          <w:r>
            <w:rPr>
              <w:rStyle w:val="34"/>
              <w:rFonts w:ascii="宋体" w:hAnsi="宋体"/>
            </w:rPr>
            <w:t>四、 招标联系人信息</w:t>
          </w:r>
          <w:r>
            <w:rPr>
              <w:rFonts w:ascii="宋体" w:hAnsi="宋体"/>
            </w:rPr>
            <w:tab/>
          </w:r>
          <w:r>
            <w:rPr>
              <w:rFonts w:ascii="宋体" w:hAnsi="宋体"/>
            </w:rPr>
            <w:fldChar w:fldCharType="begin"/>
          </w:r>
          <w:r>
            <w:rPr>
              <w:rFonts w:ascii="宋体" w:hAnsi="宋体"/>
            </w:rPr>
            <w:instrText xml:space="preserve"> PAGEREF _Toc116304846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"_Toc116304847" </w:instrText>
          </w:r>
          <w:r>
            <w:fldChar w:fldCharType="separate"/>
          </w:r>
          <w:r>
            <w:rPr>
              <w:rStyle w:val="34"/>
              <w:rFonts w:ascii="宋体" w:hAnsi="宋体"/>
            </w:rPr>
            <w:t>五、 招标须知</w:t>
          </w:r>
          <w:r>
            <w:rPr>
              <w:rFonts w:ascii="宋体" w:hAnsi="宋体"/>
            </w:rPr>
            <w:tab/>
          </w:r>
          <w:r>
            <w:rPr>
              <w:rFonts w:ascii="宋体" w:hAnsi="宋体"/>
            </w:rPr>
            <w:fldChar w:fldCharType="begin"/>
          </w:r>
          <w:r>
            <w:rPr>
              <w:rFonts w:ascii="宋体" w:hAnsi="宋体"/>
            </w:rPr>
            <w:instrText xml:space="preserve"> PAGEREF _Toc116304847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23"/>
            <w:tabs>
              <w:tab w:val="right" w:leader="dot" w:pos="9736"/>
            </w:tabs>
            <w:rPr>
              <w:rFonts w:ascii="宋体" w:hAnsi="宋体"/>
              <w:sz w:val="21"/>
              <w:szCs w:val="22"/>
            </w:rPr>
          </w:pPr>
          <w:r>
            <w:fldChar w:fldCharType="begin"/>
          </w:r>
          <w:r>
            <w:instrText xml:space="preserve"> HYPERLINK \l "_Toc116304848" </w:instrText>
          </w:r>
          <w:r>
            <w:fldChar w:fldCharType="separate"/>
          </w:r>
          <w:r>
            <w:rPr>
              <w:rStyle w:val="34"/>
              <w:rFonts w:ascii="宋体" w:hAnsi="宋体"/>
            </w:rPr>
            <w:t>第二章 网络安全等级保护测评服务项目招标书</w:t>
          </w:r>
          <w:r>
            <w:rPr>
              <w:rFonts w:ascii="宋体" w:hAnsi="宋体"/>
            </w:rPr>
            <w:tab/>
          </w:r>
          <w:r>
            <w:rPr>
              <w:rFonts w:ascii="宋体" w:hAnsi="宋体"/>
            </w:rPr>
            <w:fldChar w:fldCharType="begin"/>
          </w:r>
          <w:r>
            <w:rPr>
              <w:rFonts w:ascii="宋体" w:hAnsi="宋体"/>
            </w:rPr>
            <w:instrText xml:space="preserve"> PAGEREF _Toc116304848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"_Toc116304849" </w:instrText>
          </w:r>
          <w:r>
            <w:fldChar w:fldCharType="separate"/>
          </w:r>
          <w:r>
            <w:rPr>
              <w:rStyle w:val="34"/>
              <w:rFonts w:ascii="宋体" w:hAnsi="宋体"/>
            </w:rPr>
            <w:t>一、 投标文件的组成</w:t>
          </w:r>
          <w:r>
            <w:rPr>
              <w:rFonts w:ascii="宋体" w:hAnsi="宋体"/>
            </w:rPr>
            <w:tab/>
          </w:r>
          <w:r>
            <w:rPr>
              <w:rFonts w:ascii="宋体" w:hAnsi="宋体"/>
            </w:rPr>
            <w:fldChar w:fldCharType="begin"/>
          </w:r>
          <w:r>
            <w:rPr>
              <w:rFonts w:ascii="宋体" w:hAnsi="宋体"/>
            </w:rPr>
            <w:instrText xml:space="preserve"> PAGEREF _Toc116304849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"_Toc116304850" </w:instrText>
          </w:r>
          <w:r>
            <w:fldChar w:fldCharType="separate"/>
          </w:r>
          <w:r>
            <w:rPr>
              <w:rStyle w:val="34"/>
              <w:rFonts w:ascii="宋体" w:hAnsi="宋体"/>
            </w:rPr>
            <w:t>二、 投标文件要求</w:t>
          </w:r>
          <w:r>
            <w:rPr>
              <w:rFonts w:ascii="宋体" w:hAnsi="宋体"/>
            </w:rPr>
            <w:tab/>
          </w:r>
          <w:r>
            <w:rPr>
              <w:rFonts w:ascii="宋体" w:hAnsi="宋体"/>
            </w:rPr>
            <w:fldChar w:fldCharType="begin"/>
          </w:r>
          <w:r>
            <w:rPr>
              <w:rFonts w:ascii="宋体" w:hAnsi="宋体"/>
            </w:rPr>
            <w:instrText xml:space="preserve"> PAGEREF _Toc116304850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"_Toc116304851" </w:instrText>
          </w:r>
          <w:r>
            <w:fldChar w:fldCharType="separate"/>
          </w:r>
          <w:r>
            <w:rPr>
              <w:rStyle w:val="34"/>
              <w:rFonts w:ascii="宋体" w:hAnsi="宋体"/>
            </w:rPr>
            <w:t>1. 投标文件的签署及份数规定</w:t>
          </w:r>
          <w:r>
            <w:rPr>
              <w:rFonts w:ascii="宋体" w:hAnsi="宋体"/>
            </w:rPr>
            <w:tab/>
          </w:r>
          <w:r>
            <w:rPr>
              <w:rFonts w:ascii="宋体" w:hAnsi="宋体"/>
            </w:rPr>
            <w:fldChar w:fldCharType="begin"/>
          </w:r>
          <w:r>
            <w:rPr>
              <w:rFonts w:ascii="宋体" w:hAnsi="宋体"/>
            </w:rPr>
            <w:instrText xml:space="preserve"> PAGEREF _Toc116304851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"_Toc116304852" </w:instrText>
          </w:r>
          <w:r>
            <w:fldChar w:fldCharType="separate"/>
          </w:r>
          <w:r>
            <w:rPr>
              <w:rStyle w:val="34"/>
              <w:rFonts w:ascii="宋体" w:hAnsi="宋体"/>
            </w:rPr>
            <w:t>2. 投标文件的密封和标记</w:t>
          </w:r>
          <w:r>
            <w:rPr>
              <w:rFonts w:ascii="宋体" w:hAnsi="宋体"/>
            </w:rPr>
            <w:tab/>
          </w:r>
          <w:r>
            <w:rPr>
              <w:rFonts w:ascii="宋体" w:hAnsi="宋体"/>
            </w:rPr>
            <w:fldChar w:fldCharType="begin"/>
          </w:r>
          <w:r>
            <w:rPr>
              <w:rFonts w:ascii="宋体" w:hAnsi="宋体"/>
            </w:rPr>
            <w:instrText xml:space="preserve"> PAGEREF _Toc116304852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"_Toc116304853" </w:instrText>
          </w:r>
          <w:r>
            <w:fldChar w:fldCharType="separate"/>
          </w:r>
          <w:r>
            <w:rPr>
              <w:rStyle w:val="34"/>
              <w:rFonts w:ascii="宋体" w:hAnsi="宋体"/>
            </w:rPr>
            <w:t>3. 无效报价</w:t>
          </w:r>
          <w:r>
            <w:rPr>
              <w:rFonts w:ascii="宋体" w:hAnsi="宋体"/>
            </w:rPr>
            <w:tab/>
          </w:r>
          <w:r>
            <w:rPr>
              <w:rFonts w:ascii="宋体" w:hAnsi="宋体"/>
            </w:rPr>
            <w:fldChar w:fldCharType="begin"/>
          </w:r>
          <w:r>
            <w:rPr>
              <w:rFonts w:ascii="宋体" w:hAnsi="宋体"/>
            </w:rPr>
            <w:instrText xml:space="preserve"> PAGEREF _Toc116304853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"_Toc116304854" </w:instrText>
          </w:r>
          <w:r>
            <w:fldChar w:fldCharType="separate"/>
          </w:r>
          <w:r>
            <w:rPr>
              <w:rStyle w:val="34"/>
              <w:rFonts w:ascii="宋体" w:hAnsi="宋体"/>
            </w:rPr>
            <w:t>三、 投标文件的递交</w:t>
          </w:r>
          <w:r>
            <w:rPr>
              <w:rFonts w:ascii="宋体" w:hAnsi="宋体"/>
            </w:rPr>
            <w:tab/>
          </w:r>
          <w:r>
            <w:rPr>
              <w:rFonts w:ascii="宋体" w:hAnsi="宋体"/>
            </w:rPr>
            <w:fldChar w:fldCharType="begin"/>
          </w:r>
          <w:r>
            <w:rPr>
              <w:rFonts w:ascii="宋体" w:hAnsi="宋体"/>
            </w:rPr>
            <w:instrText xml:space="preserve"> PAGEREF _Toc116304854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"_Toc116304855" </w:instrText>
          </w:r>
          <w:r>
            <w:fldChar w:fldCharType="separate"/>
          </w:r>
          <w:r>
            <w:rPr>
              <w:rStyle w:val="34"/>
              <w:rFonts w:ascii="宋体" w:hAnsi="宋体"/>
            </w:rPr>
            <w:t>四、 投标文件的修改和撤回</w:t>
          </w:r>
          <w:r>
            <w:rPr>
              <w:rFonts w:ascii="宋体" w:hAnsi="宋体"/>
            </w:rPr>
            <w:tab/>
          </w:r>
          <w:r>
            <w:rPr>
              <w:rFonts w:ascii="宋体" w:hAnsi="宋体"/>
            </w:rPr>
            <w:fldChar w:fldCharType="begin"/>
          </w:r>
          <w:r>
            <w:rPr>
              <w:rFonts w:ascii="宋体" w:hAnsi="宋体"/>
            </w:rPr>
            <w:instrText xml:space="preserve"> PAGEREF _Toc116304855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"_Toc116304856" </w:instrText>
          </w:r>
          <w:r>
            <w:fldChar w:fldCharType="separate"/>
          </w:r>
          <w:r>
            <w:rPr>
              <w:rStyle w:val="34"/>
              <w:rFonts w:ascii="宋体" w:hAnsi="宋体"/>
            </w:rPr>
            <w:t>五、 开标</w:t>
          </w:r>
          <w:r>
            <w:rPr>
              <w:rFonts w:ascii="宋体" w:hAnsi="宋体"/>
            </w:rPr>
            <w:tab/>
          </w:r>
          <w:r>
            <w:rPr>
              <w:rFonts w:ascii="宋体" w:hAnsi="宋体"/>
            </w:rPr>
            <w:fldChar w:fldCharType="begin"/>
          </w:r>
          <w:r>
            <w:rPr>
              <w:rFonts w:ascii="宋体" w:hAnsi="宋体"/>
            </w:rPr>
            <w:instrText xml:space="preserve"> PAGEREF _Toc116304856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"_Toc116304857" </w:instrText>
          </w:r>
          <w:r>
            <w:fldChar w:fldCharType="separate"/>
          </w:r>
          <w:r>
            <w:rPr>
              <w:rStyle w:val="34"/>
              <w:rFonts w:ascii="宋体" w:hAnsi="宋体"/>
            </w:rPr>
            <w:t>六、 评标</w:t>
          </w:r>
          <w:r>
            <w:rPr>
              <w:rFonts w:ascii="宋体" w:hAnsi="宋体"/>
            </w:rPr>
            <w:tab/>
          </w:r>
          <w:r>
            <w:rPr>
              <w:rFonts w:ascii="宋体" w:hAnsi="宋体"/>
            </w:rPr>
            <w:fldChar w:fldCharType="begin"/>
          </w:r>
          <w:r>
            <w:rPr>
              <w:rFonts w:ascii="宋体" w:hAnsi="宋体"/>
            </w:rPr>
            <w:instrText xml:space="preserve"> PAGEREF _Toc116304857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"_Toc116304858" </w:instrText>
          </w:r>
          <w:r>
            <w:fldChar w:fldCharType="separate"/>
          </w:r>
          <w:r>
            <w:rPr>
              <w:rStyle w:val="34"/>
              <w:rFonts w:ascii="宋体" w:hAnsi="宋体"/>
            </w:rPr>
            <w:t>1. 评标委员会</w:t>
          </w:r>
          <w:r>
            <w:rPr>
              <w:rFonts w:ascii="宋体" w:hAnsi="宋体"/>
            </w:rPr>
            <w:tab/>
          </w:r>
          <w:r>
            <w:rPr>
              <w:rFonts w:ascii="宋体" w:hAnsi="宋体"/>
            </w:rPr>
            <w:fldChar w:fldCharType="begin"/>
          </w:r>
          <w:r>
            <w:rPr>
              <w:rFonts w:ascii="宋体" w:hAnsi="宋体"/>
            </w:rPr>
            <w:instrText xml:space="preserve"> PAGEREF _Toc116304858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"_Toc116304859" </w:instrText>
          </w:r>
          <w:r>
            <w:fldChar w:fldCharType="separate"/>
          </w:r>
          <w:r>
            <w:rPr>
              <w:rStyle w:val="34"/>
              <w:rFonts w:ascii="宋体" w:hAnsi="宋体"/>
            </w:rPr>
            <w:t>2. 标委员会成员有下列情形之一的，应当回避：</w:t>
          </w:r>
          <w:r>
            <w:rPr>
              <w:rFonts w:ascii="宋体" w:hAnsi="宋体"/>
            </w:rPr>
            <w:tab/>
          </w:r>
          <w:r>
            <w:rPr>
              <w:rFonts w:ascii="宋体" w:hAnsi="宋体"/>
            </w:rPr>
            <w:fldChar w:fldCharType="begin"/>
          </w:r>
          <w:r>
            <w:rPr>
              <w:rFonts w:ascii="宋体" w:hAnsi="宋体"/>
            </w:rPr>
            <w:instrText xml:space="preserve"> PAGEREF _Toc116304859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6"/>
            <w:tabs>
              <w:tab w:val="right" w:leader="dot" w:pos="9736"/>
            </w:tabs>
            <w:ind w:left="960"/>
            <w:rPr>
              <w:rFonts w:ascii="宋体" w:hAnsi="宋体"/>
              <w:sz w:val="21"/>
              <w:szCs w:val="22"/>
            </w:rPr>
          </w:pPr>
          <w:r>
            <w:fldChar w:fldCharType="begin"/>
          </w:r>
          <w:r>
            <w:instrText xml:space="preserve"> HYPERLINK \l "_Toc116304860" </w:instrText>
          </w:r>
          <w:r>
            <w:fldChar w:fldCharType="separate"/>
          </w:r>
          <w:r>
            <w:rPr>
              <w:rStyle w:val="34"/>
              <w:rFonts w:ascii="宋体" w:hAnsi="宋体"/>
            </w:rPr>
            <w:t>3. 评标原则</w:t>
          </w:r>
          <w:r>
            <w:rPr>
              <w:rFonts w:ascii="宋体" w:hAnsi="宋体"/>
            </w:rPr>
            <w:tab/>
          </w:r>
          <w:r>
            <w:rPr>
              <w:rFonts w:ascii="宋体" w:hAnsi="宋体"/>
            </w:rPr>
            <w:fldChar w:fldCharType="begin"/>
          </w:r>
          <w:r>
            <w:rPr>
              <w:rFonts w:ascii="宋体" w:hAnsi="宋体"/>
            </w:rPr>
            <w:instrText xml:space="preserve"> PAGEREF _Toc116304860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"_Toc116304861" </w:instrText>
          </w:r>
          <w:r>
            <w:fldChar w:fldCharType="separate"/>
          </w:r>
          <w:r>
            <w:rPr>
              <w:rStyle w:val="34"/>
              <w:rFonts w:ascii="宋体" w:hAnsi="宋体"/>
            </w:rPr>
            <w:t>七、 废标处理条件</w:t>
          </w:r>
          <w:r>
            <w:rPr>
              <w:rFonts w:ascii="宋体" w:hAnsi="宋体"/>
            </w:rPr>
            <w:tab/>
          </w:r>
          <w:r>
            <w:rPr>
              <w:rFonts w:ascii="宋体" w:hAnsi="宋体"/>
            </w:rPr>
            <w:fldChar w:fldCharType="begin"/>
          </w:r>
          <w:r>
            <w:rPr>
              <w:rFonts w:ascii="宋体" w:hAnsi="宋体"/>
            </w:rPr>
            <w:instrText xml:space="preserve"> PAGEREF _Toc116304861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"_Toc116304862" </w:instrText>
          </w:r>
          <w:r>
            <w:fldChar w:fldCharType="separate"/>
          </w:r>
          <w:r>
            <w:rPr>
              <w:rStyle w:val="34"/>
              <w:rFonts w:ascii="宋体" w:hAnsi="宋体"/>
            </w:rPr>
            <w:t>八、 纪律和监督</w:t>
          </w:r>
          <w:r>
            <w:rPr>
              <w:rFonts w:ascii="宋体" w:hAnsi="宋体"/>
            </w:rPr>
            <w:tab/>
          </w:r>
          <w:r>
            <w:rPr>
              <w:rFonts w:ascii="宋体" w:hAnsi="宋体"/>
            </w:rPr>
            <w:fldChar w:fldCharType="begin"/>
          </w:r>
          <w:r>
            <w:rPr>
              <w:rFonts w:ascii="宋体" w:hAnsi="宋体"/>
            </w:rPr>
            <w:instrText xml:space="preserve"> PAGEREF _Toc116304862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23"/>
            <w:tabs>
              <w:tab w:val="right" w:leader="dot" w:pos="9736"/>
            </w:tabs>
            <w:rPr>
              <w:rFonts w:ascii="宋体" w:hAnsi="宋体"/>
              <w:sz w:val="21"/>
              <w:szCs w:val="22"/>
            </w:rPr>
          </w:pPr>
          <w:r>
            <w:fldChar w:fldCharType="begin"/>
          </w:r>
          <w:r>
            <w:instrText xml:space="preserve"> HYPERLINK \l "_Toc116304863" </w:instrText>
          </w:r>
          <w:r>
            <w:fldChar w:fldCharType="separate"/>
          </w:r>
          <w:r>
            <w:rPr>
              <w:rStyle w:val="34"/>
              <w:rFonts w:ascii="宋体" w:hAnsi="宋体"/>
            </w:rPr>
            <w:t>第三章 采购需求</w:t>
          </w:r>
          <w:r>
            <w:rPr>
              <w:rFonts w:ascii="宋体" w:hAnsi="宋体"/>
            </w:rPr>
            <w:tab/>
          </w:r>
          <w:r>
            <w:rPr>
              <w:rFonts w:ascii="宋体" w:hAnsi="宋体"/>
            </w:rPr>
            <w:fldChar w:fldCharType="begin"/>
          </w:r>
          <w:r>
            <w:rPr>
              <w:rFonts w:ascii="宋体" w:hAnsi="宋体"/>
            </w:rPr>
            <w:instrText xml:space="preserve"> PAGEREF _Toc116304863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"_Toc116304864" </w:instrText>
          </w:r>
          <w:r>
            <w:fldChar w:fldCharType="separate"/>
          </w:r>
          <w:r>
            <w:rPr>
              <w:rStyle w:val="34"/>
              <w:rFonts w:ascii="宋体" w:hAnsi="宋体" w:cs="宋体"/>
            </w:rPr>
            <w:t>一、</w:t>
          </w:r>
          <w:r>
            <w:rPr>
              <w:rStyle w:val="34"/>
              <w:rFonts w:ascii="宋体" w:hAnsi="宋体"/>
            </w:rPr>
            <w:t xml:space="preserve"> 项目概况</w:t>
          </w:r>
          <w:r>
            <w:rPr>
              <w:rFonts w:ascii="宋体" w:hAnsi="宋体"/>
            </w:rPr>
            <w:tab/>
          </w:r>
          <w:r>
            <w:rPr>
              <w:rFonts w:ascii="宋体" w:hAnsi="宋体"/>
            </w:rPr>
            <w:fldChar w:fldCharType="begin"/>
          </w:r>
          <w:r>
            <w:rPr>
              <w:rFonts w:ascii="宋体" w:hAnsi="宋体"/>
            </w:rPr>
            <w:instrText xml:space="preserve"> PAGEREF _Toc116304864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"_Toc116304865" </w:instrText>
          </w:r>
          <w:r>
            <w:fldChar w:fldCharType="separate"/>
          </w:r>
          <w:r>
            <w:rPr>
              <w:rStyle w:val="34"/>
              <w:rFonts w:ascii="宋体" w:hAnsi="宋体"/>
            </w:rPr>
            <w:t>二、 项目实施范围</w:t>
          </w:r>
          <w:r>
            <w:rPr>
              <w:rFonts w:ascii="宋体" w:hAnsi="宋体"/>
            </w:rPr>
            <w:tab/>
          </w:r>
          <w:r>
            <w:rPr>
              <w:rFonts w:ascii="宋体" w:hAnsi="宋体"/>
            </w:rPr>
            <w:fldChar w:fldCharType="begin"/>
          </w:r>
          <w:r>
            <w:rPr>
              <w:rFonts w:ascii="宋体" w:hAnsi="宋体"/>
            </w:rPr>
            <w:instrText xml:space="preserve"> PAGEREF _Toc116304865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"_Toc116304866" </w:instrText>
          </w:r>
          <w:r>
            <w:fldChar w:fldCharType="separate"/>
          </w:r>
          <w:r>
            <w:rPr>
              <w:rStyle w:val="34"/>
              <w:rFonts w:ascii="宋体" w:hAnsi="宋体"/>
            </w:rPr>
            <w:t>三、 指导思想和基本准则</w:t>
          </w:r>
          <w:r>
            <w:rPr>
              <w:rFonts w:ascii="宋体" w:hAnsi="宋体"/>
            </w:rPr>
            <w:tab/>
          </w:r>
          <w:r>
            <w:rPr>
              <w:rFonts w:ascii="宋体" w:hAnsi="宋体"/>
            </w:rPr>
            <w:fldChar w:fldCharType="begin"/>
          </w:r>
          <w:r>
            <w:rPr>
              <w:rFonts w:ascii="宋体" w:hAnsi="宋体"/>
            </w:rPr>
            <w:instrText xml:space="preserve"> PAGEREF _Toc116304866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"_Toc116304867" </w:instrText>
          </w:r>
          <w:r>
            <w:fldChar w:fldCharType="separate"/>
          </w:r>
          <w:r>
            <w:rPr>
              <w:rStyle w:val="34"/>
              <w:rFonts w:ascii="宋体" w:hAnsi="宋体"/>
            </w:rPr>
            <w:t>四、 等级保护测评主要包括以下几个方面：</w:t>
          </w:r>
          <w:r>
            <w:rPr>
              <w:rFonts w:ascii="宋体" w:hAnsi="宋体"/>
            </w:rPr>
            <w:tab/>
          </w:r>
          <w:r>
            <w:rPr>
              <w:rFonts w:ascii="宋体" w:hAnsi="宋体"/>
            </w:rPr>
            <w:fldChar w:fldCharType="begin"/>
          </w:r>
          <w:r>
            <w:rPr>
              <w:rFonts w:ascii="宋体" w:hAnsi="宋体"/>
            </w:rPr>
            <w:instrText xml:space="preserve"> PAGEREF _Toc116304867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"_Toc116304868" </w:instrText>
          </w:r>
          <w:r>
            <w:fldChar w:fldCharType="separate"/>
          </w:r>
          <w:r>
            <w:rPr>
              <w:rStyle w:val="34"/>
              <w:rFonts w:ascii="宋体" w:hAnsi="宋体"/>
            </w:rPr>
            <w:t>五、 工作要求：</w:t>
          </w:r>
          <w:r>
            <w:rPr>
              <w:rFonts w:ascii="宋体" w:hAnsi="宋体"/>
            </w:rPr>
            <w:tab/>
          </w:r>
          <w:r>
            <w:rPr>
              <w:rFonts w:ascii="宋体" w:hAnsi="宋体"/>
            </w:rPr>
            <w:fldChar w:fldCharType="begin"/>
          </w:r>
          <w:r>
            <w:rPr>
              <w:rFonts w:ascii="宋体" w:hAnsi="宋体"/>
            </w:rPr>
            <w:instrText xml:space="preserve"> PAGEREF _Toc116304868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"_Toc116304869" </w:instrText>
          </w:r>
          <w:r>
            <w:fldChar w:fldCharType="separate"/>
          </w:r>
          <w:r>
            <w:rPr>
              <w:rStyle w:val="34"/>
              <w:rFonts w:ascii="宋体" w:hAnsi="宋体"/>
            </w:rPr>
            <w:t>六、 报价要求</w:t>
          </w:r>
          <w:r>
            <w:rPr>
              <w:rFonts w:ascii="宋体" w:hAnsi="宋体"/>
            </w:rPr>
            <w:tab/>
          </w:r>
          <w:r>
            <w:rPr>
              <w:rFonts w:ascii="宋体" w:hAnsi="宋体"/>
            </w:rPr>
            <w:fldChar w:fldCharType="begin"/>
          </w:r>
          <w:r>
            <w:rPr>
              <w:rFonts w:ascii="宋体" w:hAnsi="宋体"/>
            </w:rPr>
            <w:instrText xml:space="preserve"> PAGEREF _Toc116304869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"_Toc116304870" </w:instrText>
          </w:r>
          <w:r>
            <w:fldChar w:fldCharType="separate"/>
          </w:r>
          <w:r>
            <w:rPr>
              <w:rStyle w:val="34"/>
              <w:rFonts w:ascii="宋体" w:hAnsi="宋体"/>
            </w:rPr>
            <w:t>七、 验收标准</w:t>
          </w:r>
          <w:r>
            <w:rPr>
              <w:rFonts w:ascii="宋体" w:hAnsi="宋体"/>
            </w:rPr>
            <w:tab/>
          </w:r>
          <w:r>
            <w:rPr>
              <w:rFonts w:ascii="宋体" w:hAnsi="宋体"/>
            </w:rPr>
            <w:fldChar w:fldCharType="begin"/>
          </w:r>
          <w:r>
            <w:rPr>
              <w:rFonts w:ascii="宋体" w:hAnsi="宋体"/>
            </w:rPr>
            <w:instrText xml:space="preserve"> PAGEREF _Toc116304870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23"/>
            <w:tabs>
              <w:tab w:val="right" w:leader="dot" w:pos="9736"/>
            </w:tabs>
            <w:rPr>
              <w:rFonts w:ascii="宋体" w:hAnsi="宋体"/>
              <w:sz w:val="21"/>
              <w:szCs w:val="22"/>
            </w:rPr>
          </w:pPr>
          <w:r>
            <w:fldChar w:fldCharType="begin"/>
          </w:r>
          <w:r>
            <w:instrText xml:space="preserve"> HYPERLINK \l "_Toc116304871" </w:instrText>
          </w:r>
          <w:r>
            <w:fldChar w:fldCharType="separate"/>
          </w:r>
          <w:r>
            <w:rPr>
              <w:rStyle w:val="34"/>
              <w:rFonts w:ascii="宋体" w:hAnsi="宋体"/>
            </w:rPr>
            <w:t>第四章 评分细则</w:t>
          </w:r>
          <w:r>
            <w:rPr>
              <w:rFonts w:ascii="宋体" w:hAnsi="宋体"/>
            </w:rPr>
            <w:tab/>
          </w:r>
          <w:r>
            <w:rPr>
              <w:rFonts w:ascii="宋体" w:hAnsi="宋体"/>
            </w:rPr>
            <w:fldChar w:fldCharType="begin"/>
          </w:r>
          <w:r>
            <w:rPr>
              <w:rFonts w:ascii="宋体" w:hAnsi="宋体"/>
            </w:rPr>
            <w:instrText xml:space="preserve"> PAGEREF _Toc116304871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23"/>
            <w:tabs>
              <w:tab w:val="right" w:leader="dot" w:pos="9736"/>
            </w:tabs>
            <w:rPr>
              <w:rFonts w:ascii="宋体" w:hAnsi="宋体"/>
              <w:sz w:val="21"/>
              <w:szCs w:val="22"/>
            </w:rPr>
          </w:pPr>
          <w:r>
            <w:fldChar w:fldCharType="begin"/>
          </w:r>
          <w:r>
            <w:instrText xml:space="preserve"> HYPERLINK \l "_Toc116304872" </w:instrText>
          </w:r>
          <w:r>
            <w:fldChar w:fldCharType="separate"/>
          </w:r>
          <w:r>
            <w:rPr>
              <w:rStyle w:val="34"/>
              <w:rFonts w:ascii="宋体" w:hAnsi="宋体"/>
            </w:rPr>
            <w:t>第五章 投标文件格式</w:t>
          </w:r>
          <w:r>
            <w:rPr>
              <w:rFonts w:ascii="宋体" w:hAnsi="宋体"/>
            </w:rPr>
            <w:tab/>
          </w:r>
          <w:r>
            <w:rPr>
              <w:rFonts w:ascii="宋体" w:hAnsi="宋体"/>
            </w:rPr>
            <w:fldChar w:fldCharType="begin"/>
          </w:r>
          <w:r>
            <w:rPr>
              <w:rFonts w:ascii="宋体" w:hAnsi="宋体"/>
            </w:rPr>
            <w:instrText xml:space="preserve"> PAGEREF _Toc116304872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"_Toc116304873" </w:instrText>
          </w:r>
          <w:r>
            <w:fldChar w:fldCharType="separate"/>
          </w:r>
          <w:r>
            <w:rPr>
              <w:rStyle w:val="34"/>
              <w:rFonts w:ascii="宋体" w:hAnsi="宋体"/>
            </w:rPr>
            <w:t>一、 报价单</w:t>
          </w:r>
          <w:r>
            <w:rPr>
              <w:rFonts w:ascii="宋体" w:hAnsi="宋体"/>
            </w:rPr>
            <w:tab/>
          </w:r>
          <w:r>
            <w:rPr>
              <w:rFonts w:ascii="宋体" w:hAnsi="宋体"/>
            </w:rPr>
            <w:fldChar w:fldCharType="begin"/>
          </w:r>
          <w:r>
            <w:rPr>
              <w:rFonts w:ascii="宋体" w:hAnsi="宋体"/>
            </w:rPr>
            <w:instrText xml:space="preserve"> PAGEREF _Toc116304873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"_Toc116304874" </w:instrText>
          </w:r>
          <w:r>
            <w:fldChar w:fldCharType="separate"/>
          </w:r>
          <w:r>
            <w:rPr>
              <w:rStyle w:val="34"/>
              <w:rFonts w:ascii="宋体" w:hAnsi="宋体"/>
            </w:rPr>
            <w:t>二、 法人代表授权书</w:t>
          </w:r>
          <w:r>
            <w:rPr>
              <w:rFonts w:ascii="宋体" w:hAnsi="宋体"/>
            </w:rPr>
            <w:tab/>
          </w:r>
          <w:r>
            <w:rPr>
              <w:rFonts w:ascii="宋体" w:hAnsi="宋体"/>
            </w:rPr>
            <w:fldChar w:fldCharType="begin"/>
          </w:r>
          <w:r>
            <w:rPr>
              <w:rFonts w:ascii="宋体" w:hAnsi="宋体"/>
            </w:rPr>
            <w:instrText xml:space="preserve"> PAGEREF _Toc116304874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"_Toc116304875" </w:instrText>
          </w:r>
          <w:r>
            <w:fldChar w:fldCharType="separate"/>
          </w:r>
          <w:r>
            <w:rPr>
              <w:rStyle w:val="34"/>
              <w:rFonts w:ascii="宋体" w:hAnsi="宋体"/>
            </w:rPr>
            <w:t>三、 营业执照</w:t>
          </w:r>
          <w:r>
            <w:rPr>
              <w:rFonts w:ascii="宋体" w:hAnsi="宋体"/>
            </w:rPr>
            <w:tab/>
          </w:r>
          <w:r>
            <w:rPr>
              <w:rFonts w:ascii="宋体" w:hAnsi="宋体"/>
            </w:rPr>
            <w:fldChar w:fldCharType="begin"/>
          </w:r>
          <w:r>
            <w:rPr>
              <w:rFonts w:ascii="宋体" w:hAnsi="宋体"/>
            </w:rPr>
            <w:instrText xml:space="preserve"> PAGEREF _Toc116304875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"_Toc116304876" </w:instrText>
          </w:r>
          <w:r>
            <w:fldChar w:fldCharType="separate"/>
          </w:r>
          <w:r>
            <w:rPr>
              <w:rStyle w:val="34"/>
              <w:rFonts w:ascii="宋体" w:hAnsi="宋体"/>
            </w:rPr>
            <w:t>四、 投标人综合情况简介</w:t>
          </w:r>
          <w:r>
            <w:rPr>
              <w:rFonts w:ascii="宋体" w:hAnsi="宋体"/>
            </w:rPr>
            <w:tab/>
          </w:r>
          <w:r>
            <w:rPr>
              <w:rFonts w:ascii="宋体" w:hAnsi="宋体"/>
            </w:rPr>
            <w:fldChar w:fldCharType="begin"/>
          </w:r>
          <w:r>
            <w:rPr>
              <w:rFonts w:ascii="宋体" w:hAnsi="宋体"/>
            </w:rPr>
            <w:instrText xml:space="preserve"> PAGEREF _Toc116304876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"_Toc116304877" </w:instrText>
          </w:r>
          <w:r>
            <w:fldChar w:fldCharType="separate"/>
          </w:r>
          <w:r>
            <w:rPr>
              <w:rStyle w:val="34"/>
              <w:rFonts w:ascii="宋体" w:hAnsi="宋体"/>
            </w:rPr>
            <w:t>五、 服务方案</w:t>
          </w:r>
          <w:r>
            <w:rPr>
              <w:rFonts w:ascii="宋体" w:hAnsi="宋体"/>
            </w:rPr>
            <w:tab/>
          </w:r>
          <w:r>
            <w:rPr>
              <w:rFonts w:ascii="宋体" w:hAnsi="宋体"/>
            </w:rPr>
            <w:fldChar w:fldCharType="begin"/>
          </w:r>
          <w:r>
            <w:rPr>
              <w:rFonts w:ascii="宋体" w:hAnsi="宋体"/>
            </w:rPr>
            <w:instrText xml:space="preserve"> PAGEREF _Toc116304877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"_Toc116304878" </w:instrText>
          </w:r>
          <w:r>
            <w:fldChar w:fldCharType="separate"/>
          </w:r>
          <w:r>
            <w:rPr>
              <w:rStyle w:val="34"/>
              <w:rFonts w:ascii="宋体" w:hAnsi="宋体"/>
            </w:rPr>
            <w:t>六、 业绩案例</w:t>
          </w:r>
          <w:r>
            <w:rPr>
              <w:rFonts w:ascii="宋体" w:hAnsi="宋体"/>
            </w:rPr>
            <w:tab/>
          </w:r>
          <w:r>
            <w:rPr>
              <w:rFonts w:ascii="宋体" w:hAnsi="宋体"/>
            </w:rPr>
            <w:fldChar w:fldCharType="begin"/>
          </w:r>
          <w:r>
            <w:rPr>
              <w:rFonts w:ascii="宋体" w:hAnsi="宋体"/>
            </w:rPr>
            <w:instrText xml:space="preserve"> PAGEREF _Toc116304878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"_Toc116304879" </w:instrText>
          </w:r>
          <w:r>
            <w:fldChar w:fldCharType="separate"/>
          </w:r>
          <w:r>
            <w:rPr>
              <w:rStyle w:val="34"/>
              <w:rFonts w:ascii="宋体" w:hAnsi="宋体"/>
            </w:rPr>
            <w:t>七、 项目人员配备</w:t>
          </w:r>
          <w:r>
            <w:rPr>
              <w:rFonts w:ascii="宋体" w:hAnsi="宋体"/>
            </w:rPr>
            <w:tab/>
          </w:r>
          <w:r>
            <w:rPr>
              <w:rFonts w:ascii="宋体" w:hAnsi="宋体"/>
            </w:rPr>
            <w:fldChar w:fldCharType="begin"/>
          </w:r>
          <w:r>
            <w:rPr>
              <w:rFonts w:ascii="宋体" w:hAnsi="宋体"/>
            </w:rPr>
            <w:instrText xml:space="preserve"> PAGEREF _Toc116304879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26"/>
            <w:tabs>
              <w:tab w:val="right" w:leader="dot" w:pos="9736"/>
            </w:tabs>
            <w:ind w:left="480"/>
            <w:rPr>
              <w:rFonts w:ascii="宋体" w:hAnsi="宋体"/>
              <w:sz w:val="21"/>
              <w:szCs w:val="22"/>
            </w:rPr>
          </w:pPr>
          <w:r>
            <w:fldChar w:fldCharType="begin"/>
          </w:r>
          <w:r>
            <w:instrText xml:space="preserve"> HYPERLINK \l "_Toc116304880" </w:instrText>
          </w:r>
          <w:r>
            <w:fldChar w:fldCharType="separate"/>
          </w:r>
          <w:r>
            <w:rPr>
              <w:rStyle w:val="34"/>
              <w:rFonts w:ascii="宋体" w:hAnsi="宋体"/>
            </w:rPr>
            <w:t>八、 其他材料</w:t>
          </w:r>
          <w:r>
            <w:rPr>
              <w:rFonts w:ascii="宋体" w:hAnsi="宋体"/>
            </w:rPr>
            <w:tab/>
          </w:r>
          <w:r>
            <w:rPr>
              <w:rFonts w:ascii="宋体" w:hAnsi="宋体"/>
            </w:rPr>
            <w:fldChar w:fldCharType="begin"/>
          </w:r>
          <w:r>
            <w:rPr>
              <w:rFonts w:ascii="宋体" w:hAnsi="宋体"/>
            </w:rPr>
            <w:instrText xml:space="preserve"> PAGEREF _Toc116304880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rPr>
              <w:rFonts w:ascii="宋体" w:hAnsi="宋体"/>
            </w:rPr>
          </w:pPr>
          <w:r>
            <w:rPr>
              <w:rFonts w:ascii="宋体" w:hAnsi="宋体"/>
              <w:b/>
              <w:bCs/>
              <w:lang w:val="zh-CN"/>
            </w:rPr>
            <w:fldChar w:fldCharType="end"/>
          </w:r>
        </w:p>
      </w:sdtContent>
    </w:sdt>
    <w:p>
      <w:pPr>
        <w:contextualSpacing/>
        <w:jc w:val="center"/>
        <w:rPr>
          <w:rFonts w:ascii="宋体" w:hAnsi="宋体" w:cs="仿宋"/>
          <w:sz w:val="36"/>
          <w:szCs w:val="36"/>
        </w:rPr>
      </w:pPr>
    </w:p>
    <w:p>
      <w:pPr>
        <w:pStyle w:val="2"/>
        <w:spacing w:after="360"/>
        <w:ind w:firstLine="643"/>
        <w:rPr>
          <w:rFonts w:ascii="宋体" w:hAnsi="宋体"/>
        </w:rPr>
      </w:pPr>
      <w:bookmarkStart w:id="0" w:name="_Toc116304839"/>
      <w:r>
        <w:rPr>
          <w:rFonts w:hint="eastAsia" w:ascii="宋体" w:hAnsi="宋体" w:cs="仿宋"/>
          <w:kern w:val="0"/>
          <w:szCs w:val="24"/>
        </w:rPr>
        <w:t>竞争性磋商</w:t>
      </w:r>
      <w:r>
        <w:rPr>
          <w:rFonts w:hint="eastAsia" w:ascii="宋体" w:hAnsi="宋体"/>
        </w:rPr>
        <w:t>公告</w:t>
      </w:r>
      <w:bookmarkEnd w:id="0"/>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bookmarkStart w:id="1" w:name="_Toc116304848"/>
      <w:r>
        <w:rPr>
          <w:rFonts w:hint="eastAsia" w:ascii="宋体" w:hAnsi="宋体" w:eastAsia="宋体" w:cs="宋体"/>
          <w:b/>
          <w:bCs/>
          <w:i w:val="0"/>
          <w:iCs w:val="0"/>
          <w:caps w:val="0"/>
          <w:color w:val="000000"/>
          <w:spacing w:val="0"/>
          <w:sz w:val="24"/>
          <w:szCs w:val="24"/>
          <w:shd w:val="clear" w:fill="FFFFFF"/>
        </w:rPr>
        <w:t>一、项目基本情况</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项目编号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STCJWA202</w:t>
      </w:r>
      <w:r>
        <w:rPr>
          <w:rFonts w:hint="default" w:ascii="宋体" w:hAnsi="宋体" w:eastAsia="宋体" w:cs="宋体"/>
          <w:i w:val="0"/>
          <w:iCs w:val="0"/>
          <w:caps w:val="0"/>
          <w:color w:val="auto"/>
          <w:spacing w:val="0"/>
          <w:sz w:val="24"/>
          <w:szCs w:val="24"/>
          <w:shd w:val="clear" w:fill="FFFFFF"/>
          <w:lang w:val="en" w:eastAsia="zh-CN"/>
        </w:rPr>
        <w:t>3</w:t>
      </w:r>
      <w:r>
        <w:rPr>
          <w:rFonts w:hint="eastAsia" w:ascii="宋体" w:hAnsi="宋体" w:eastAsia="宋体" w:cs="宋体"/>
          <w:i w:val="0"/>
          <w:iCs w:val="0"/>
          <w:caps w:val="0"/>
          <w:color w:val="auto"/>
          <w:spacing w:val="0"/>
          <w:sz w:val="24"/>
          <w:szCs w:val="24"/>
          <w:shd w:val="clear" w:fill="FFFFFF"/>
          <w:lang w:val="en-US" w:eastAsia="zh-CN"/>
        </w:rPr>
        <w:t>X01</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项目名称：投资黄山数智化平台网络安全等级保护测评服务项目</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采购方式：竞争性磋商</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预算金额：</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万元。</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最高限价：同预算金额</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采购需求：系统定级备案、开展投资黄山数智化平台网络安全等级保护等保测评工作，出具测评分析和整改建议，出具符合标准要求的测评报告。</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合同履行期限：30日历天。</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服务期：招标人根据项目进度提前10天通知中标人开展测评工作，中标人进场测评后，10天内出具《整改建议》，招标人整改完成后，中标人进行复测并在20天内出具《测评报告》。</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质量要求：符合标准要求的测评报告。</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二、申请人的资格要求：</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本项目非专门面向中小微型企业，详见磋商文件供应商须知前附表第22条。</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3.投标人须具备公安部第三研究所颁发的网络安全等级测评与检测评估机构服务认证证书。</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4.本项目的特定资格要求：</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（1）供应商（含不具有独立法人资格的分公司、不含具备独立法人资格的子公司）存在以下不良信用记录情形之一,不得推荐为成交候选人，不得确定为成交供应商:</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①供应商被人民法院列入失信被执行人的；</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②供应商被市场监管部门列入企业经营异常名录的；</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③供应商被税务部门列入重大税收违法案件当事人名单的；</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④供应商被政府采购监管部门列入政府采购严重违法失信行为记录名单的。</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）本项目不接受联合体投标。</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三、获取采购文件</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年12月</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日至202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年12月</w:t>
      </w:r>
      <w:r>
        <w:rPr>
          <w:rFonts w:hint="eastAsia" w:ascii="宋体" w:hAnsi="宋体" w:eastAsia="宋体" w:cs="宋体"/>
          <w:i w:val="0"/>
          <w:iCs w:val="0"/>
          <w:caps w:val="0"/>
          <w:color w:val="333333"/>
          <w:spacing w:val="0"/>
          <w:sz w:val="24"/>
          <w:szCs w:val="24"/>
          <w:shd w:val="clear" w:fill="FFFFFF"/>
          <w:lang w:val="en-US" w:eastAsia="zh-CN"/>
        </w:rPr>
        <w:t>13</w:t>
      </w:r>
      <w:r>
        <w:rPr>
          <w:rFonts w:hint="eastAsia" w:ascii="宋体" w:hAnsi="宋体" w:eastAsia="宋体" w:cs="宋体"/>
          <w:i w:val="0"/>
          <w:iCs w:val="0"/>
          <w:caps w:val="0"/>
          <w:color w:val="333333"/>
          <w:spacing w:val="0"/>
          <w:sz w:val="24"/>
          <w:szCs w:val="24"/>
          <w:shd w:val="clear" w:fill="FFFFFF"/>
        </w:rPr>
        <w:t>日</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333333"/>
          <w:spacing w:val="0"/>
          <w:sz w:val="24"/>
          <w:szCs w:val="24"/>
          <w:shd w:val="clear" w:fill="FFFFFF"/>
          <w:lang w:val="en-US" w:eastAsia="zh-CN"/>
        </w:rPr>
        <w:t>下载附件</w:t>
      </w:r>
      <w:r>
        <w:rPr>
          <w:rFonts w:hint="eastAsia" w:ascii="宋体" w:hAnsi="宋体" w:eastAsia="宋体" w:cs="宋体"/>
          <w:i w:val="0"/>
          <w:iCs w:val="0"/>
          <w:caps w:val="0"/>
          <w:color w:val="333333"/>
          <w:spacing w:val="0"/>
          <w:sz w:val="24"/>
          <w:szCs w:val="24"/>
          <w:shd w:val="clear" w:fill="FFFFFF"/>
        </w:rPr>
        <w:t>。</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四、响应文件提交</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auto"/>
          <w:spacing w:val="0"/>
          <w:sz w:val="21"/>
          <w:szCs w:val="21"/>
        </w:rPr>
      </w:pPr>
      <w:r>
        <w:rPr>
          <w:rFonts w:hint="eastAsia" w:ascii="宋体" w:hAnsi="宋体" w:eastAsia="宋体" w:cs="宋体"/>
          <w:i w:val="0"/>
          <w:iCs w:val="0"/>
          <w:caps w:val="0"/>
          <w:color w:val="auto"/>
          <w:spacing w:val="0"/>
          <w:sz w:val="24"/>
          <w:szCs w:val="24"/>
          <w:shd w:val="clear" w:fill="FFFFFF"/>
        </w:rPr>
        <w:t>截止时间：202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年12月1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点00分（北京时间）</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auto"/>
          <w:spacing w:val="0"/>
          <w:sz w:val="21"/>
          <w:szCs w:val="21"/>
        </w:rPr>
      </w:pPr>
      <w:r>
        <w:rPr>
          <w:rFonts w:hint="eastAsia" w:ascii="宋体" w:hAnsi="宋体" w:eastAsia="宋体" w:cs="宋体"/>
          <w:i w:val="0"/>
          <w:iCs w:val="0"/>
          <w:caps w:val="0"/>
          <w:color w:val="auto"/>
          <w:spacing w:val="0"/>
          <w:sz w:val="24"/>
          <w:szCs w:val="24"/>
          <w:shd w:val="clear" w:fill="FFFFFF"/>
        </w:rPr>
        <w:t>地点：黄山市投资促进局会议室</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五、磋商开启时间及地点</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auto"/>
          <w:spacing w:val="0"/>
          <w:sz w:val="21"/>
          <w:szCs w:val="21"/>
        </w:rPr>
      </w:pPr>
      <w:r>
        <w:rPr>
          <w:rFonts w:hint="eastAsia" w:ascii="宋体" w:hAnsi="宋体" w:eastAsia="宋体" w:cs="宋体"/>
          <w:i w:val="0"/>
          <w:iCs w:val="0"/>
          <w:caps w:val="0"/>
          <w:color w:val="auto"/>
          <w:spacing w:val="0"/>
          <w:sz w:val="24"/>
          <w:szCs w:val="24"/>
          <w:shd w:val="clear" w:fill="FFFFFF"/>
        </w:rPr>
        <w:t>时间：202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年12月1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点00分（北京时间）</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Times New Roman" w:hAnsi="Times New Roman" w:cs="Times New Roman"/>
          <w:i w:val="0"/>
          <w:iCs w:val="0"/>
          <w:caps w:val="0"/>
          <w:color w:val="auto"/>
          <w:spacing w:val="0"/>
          <w:sz w:val="21"/>
          <w:szCs w:val="21"/>
        </w:rPr>
      </w:pPr>
      <w:r>
        <w:rPr>
          <w:rFonts w:hint="eastAsia" w:ascii="宋体" w:hAnsi="宋体" w:eastAsia="宋体" w:cs="宋体"/>
          <w:i w:val="0"/>
          <w:iCs w:val="0"/>
          <w:caps w:val="0"/>
          <w:color w:val="auto"/>
          <w:spacing w:val="0"/>
          <w:sz w:val="24"/>
          <w:szCs w:val="24"/>
          <w:shd w:val="clear" w:fill="FFFFFF"/>
        </w:rPr>
        <w:t>地点：黄山市投资促进局（地址：黄山市屯溪区屯光大道9号）</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六、公告期限</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val="0"/>
          <w:bCs w:val="0"/>
          <w:i w:val="0"/>
          <w:iCs w:val="0"/>
          <w:caps w:val="0"/>
          <w:color w:val="000000"/>
          <w:spacing w:val="0"/>
          <w:sz w:val="24"/>
          <w:szCs w:val="24"/>
          <w:shd w:val="clear" w:fill="FFFFFF"/>
        </w:rPr>
        <w:t>202</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年12月</w:t>
      </w:r>
      <w:r>
        <w:rPr>
          <w:rFonts w:hint="eastAsia" w:ascii="宋体" w:hAnsi="宋体" w:eastAsia="宋体" w:cs="宋体"/>
          <w:b w:val="0"/>
          <w:bCs w:val="0"/>
          <w:i w:val="0"/>
          <w:iCs w:val="0"/>
          <w:caps w:val="0"/>
          <w:color w:val="000000"/>
          <w:spacing w:val="0"/>
          <w:sz w:val="24"/>
          <w:szCs w:val="24"/>
          <w:shd w:val="clear" w:fill="FFFFFF"/>
          <w:lang w:val="en-US" w:eastAsia="zh-CN"/>
        </w:rPr>
        <w:t>7</w:t>
      </w:r>
      <w:r>
        <w:rPr>
          <w:rFonts w:hint="eastAsia" w:ascii="宋体" w:hAnsi="宋体" w:eastAsia="宋体" w:cs="宋体"/>
          <w:b w:val="0"/>
          <w:bCs w:val="0"/>
          <w:i w:val="0"/>
          <w:iCs w:val="0"/>
          <w:caps w:val="0"/>
          <w:color w:val="000000"/>
          <w:spacing w:val="0"/>
          <w:sz w:val="24"/>
          <w:szCs w:val="24"/>
          <w:shd w:val="clear" w:fill="FFFFFF"/>
        </w:rPr>
        <w:t>日至202</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年12月</w:t>
      </w:r>
      <w:r>
        <w:rPr>
          <w:rFonts w:hint="eastAsia" w:ascii="宋体" w:hAnsi="宋体" w:eastAsia="宋体" w:cs="宋体"/>
          <w:b w:val="0"/>
          <w:bCs w:val="0"/>
          <w:i w:val="0"/>
          <w:iCs w:val="0"/>
          <w:caps w:val="0"/>
          <w:color w:val="000000"/>
          <w:spacing w:val="0"/>
          <w:sz w:val="24"/>
          <w:szCs w:val="24"/>
          <w:shd w:val="clear" w:fill="FFFFFF"/>
          <w:lang w:val="en-US" w:eastAsia="zh-CN"/>
        </w:rPr>
        <w:t>13</w:t>
      </w:r>
      <w:r>
        <w:rPr>
          <w:rFonts w:hint="eastAsia" w:ascii="宋体" w:hAnsi="宋体" w:eastAsia="宋体" w:cs="宋体"/>
          <w:b w:val="0"/>
          <w:bCs w:val="0"/>
          <w:i w:val="0"/>
          <w:iCs w:val="0"/>
          <w:caps w:val="0"/>
          <w:color w:val="000000"/>
          <w:spacing w:val="0"/>
          <w:sz w:val="24"/>
          <w:szCs w:val="24"/>
          <w:shd w:val="clear" w:fill="FFFFFF"/>
        </w:rPr>
        <w:t>日</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七、其他补充事宜</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1.项目类别：服务类</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2.资金来源：财政</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3.标段（包别）划分：1个包</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4.项目地点：黄山市</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5.磋商保证金</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val="0"/>
          <w:bCs w:val="0"/>
          <w:i w:val="0"/>
          <w:iCs w:val="0"/>
          <w:caps w:val="0"/>
          <w:color w:val="000000"/>
          <w:spacing w:val="0"/>
          <w:sz w:val="24"/>
          <w:szCs w:val="24"/>
          <w:shd w:val="clear" w:fill="FFFFFF"/>
        </w:rPr>
        <w:t>本项目免收磋商保证金。</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8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6.本竞争性磋商邀请书属磋商文件的组成部分，与磋商文件具有同等法律效力。当竞争性磋商邀请书与磋商文件表述不一致时，以磋商文件为准。</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shd w:val="clear" w:fill="FFFFFF"/>
        </w:rPr>
        <w:t>八、凡对本次采购提出询问，请按以下方式联系。</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42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（一）采购人名称：黄山市投资促进局</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地址：黄山市屯溪区屯光大道9号</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both"/>
        <w:rPr>
          <w:rFonts w:hint="default" w:ascii="Times New Roman" w:hAnsi="Times New Roman" w:eastAsia="宋体" w:cs="Times New Roman"/>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eastAsia="zh-CN"/>
        </w:rPr>
        <w:t>徐先生、陈先生</w:t>
      </w:r>
      <w:r>
        <w:rPr>
          <w:rFonts w:hint="default" w:ascii="宋体" w:hAnsi="宋体" w:eastAsia="宋体" w:cs="宋体"/>
          <w:i w:val="0"/>
          <w:iCs w:val="0"/>
          <w:caps w:val="0"/>
          <w:color w:val="auto"/>
          <w:spacing w:val="0"/>
          <w:sz w:val="24"/>
          <w:szCs w:val="24"/>
          <w:shd w:val="clear" w:fill="FFFFFF"/>
          <w:lang w:val="en" w:eastAsia="zh-CN"/>
        </w:rPr>
        <w:t xml:space="preserve"> </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18955955945、19905597235</w:t>
      </w:r>
    </w:p>
    <w:p>
      <w:pPr>
        <w:pStyle w:val="2"/>
        <w:spacing w:after="360"/>
        <w:rPr>
          <w:rFonts w:ascii="宋体" w:hAnsi="宋体"/>
        </w:rPr>
      </w:pPr>
      <w:r>
        <w:rPr>
          <w:rFonts w:hint="eastAsia" w:ascii="宋体" w:hAnsi="宋体"/>
        </w:rPr>
        <w:t>网络安全等级保护测评服务项目</w:t>
      </w:r>
      <w:r>
        <w:rPr>
          <w:rFonts w:ascii="宋体" w:hAnsi="宋体"/>
        </w:rPr>
        <w:t>招标</w:t>
      </w:r>
      <w:r>
        <w:rPr>
          <w:rFonts w:hint="eastAsia" w:ascii="宋体" w:hAnsi="宋体"/>
        </w:rPr>
        <w:t>书</w:t>
      </w:r>
      <w:bookmarkEnd w:id="1"/>
    </w:p>
    <w:p>
      <w:pPr>
        <w:pStyle w:val="3"/>
        <w:rPr>
          <w:rFonts w:ascii="宋体" w:hAnsi="宋体"/>
        </w:rPr>
      </w:pPr>
      <w:bookmarkStart w:id="2" w:name="_Toc116304849"/>
      <w:r>
        <w:rPr>
          <w:rFonts w:hint="eastAsia" w:ascii="宋体" w:hAnsi="宋体"/>
        </w:rPr>
        <w:t>投标文件的组成</w:t>
      </w:r>
      <w:bookmarkEnd w:id="2"/>
    </w:p>
    <w:p>
      <w:pPr>
        <w:pStyle w:val="52"/>
        <w:ind w:left="480" w:firstLine="0" w:firstLineChars="0"/>
        <w:rPr>
          <w:rFonts w:ascii="宋体" w:hAnsi="宋体"/>
        </w:rPr>
      </w:pPr>
      <w:r>
        <w:rPr>
          <w:rFonts w:hint="eastAsia" w:ascii="宋体" w:hAnsi="宋体"/>
        </w:rPr>
        <w:t>1.报价单</w:t>
      </w:r>
    </w:p>
    <w:p>
      <w:pPr>
        <w:pStyle w:val="52"/>
        <w:ind w:left="480" w:firstLine="0" w:firstLineChars="0"/>
        <w:rPr>
          <w:rFonts w:ascii="宋体" w:hAnsi="宋体"/>
        </w:rPr>
      </w:pPr>
      <w:r>
        <w:rPr>
          <w:rFonts w:ascii="宋体" w:hAnsi="宋体"/>
        </w:rPr>
        <w:t>2</w:t>
      </w:r>
      <w:r>
        <w:rPr>
          <w:rFonts w:hint="eastAsia" w:ascii="宋体" w:hAnsi="宋体"/>
        </w:rPr>
        <w:t>法人代表授权书</w:t>
      </w:r>
    </w:p>
    <w:p>
      <w:pPr>
        <w:pStyle w:val="52"/>
        <w:ind w:left="480" w:firstLine="0" w:firstLineChars="0"/>
        <w:rPr>
          <w:rFonts w:ascii="宋体" w:hAnsi="宋体"/>
        </w:rPr>
      </w:pPr>
      <w:r>
        <w:rPr>
          <w:rFonts w:hint="eastAsia" w:ascii="宋体" w:hAnsi="宋体"/>
        </w:rPr>
        <w:t>3</w:t>
      </w:r>
      <w:r>
        <w:rPr>
          <w:rFonts w:ascii="宋体" w:hAnsi="宋体"/>
        </w:rPr>
        <w:t>.</w:t>
      </w:r>
      <w:r>
        <w:rPr>
          <w:rFonts w:hint="eastAsia" w:ascii="宋体" w:hAnsi="宋体"/>
        </w:rPr>
        <w:t>营业执照</w:t>
      </w:r>
    </w:p>
    <w:p>
      <w:pPr>
        <w:pStyle w:val="52"/>
        <w:ind w:left="480" w:firstLine="0" w:firstLineChars="0"/>
        <w:rPr>
          <w:rFonts w:ascii="宋体" w:hAnsi="宋体"/>
        </w:rPr>
      </w:pPr>
      <w:r>
        <w:rPr>
          <w:rFonts w:ascii="宋体" w:hAnsi="宋体"/>
        </w:rPr>
        <w:t>4</w:t>
      </w:r>
      <w:r>
        <w:rPr>
          <w:rFonts w:hint="eastAsia" w:ascii="宋体" w:hAnsi="宋体"/>
        </w:rPr>
        <w:t>.投标人综合情况简介</w:t>
      </w:r>
      <w:r>
        <w:rPr>
          <w:rFonts w:ascii="宋体" w:hAnsi="宋体"/>
        </w:rPr>
        <w:t xml:space="preserve"> </w:t>
      </w:r>
    </w:p>
    <w:p>
      <w:pPr>
        <w:pStyle w:val="52"/>
        <w:ind w:left="480" w:firstLine="0" w:firstLineChars="0"/>
        <w:rPr>
          <w:rFonts w:ascii="宋体" w:hAnsi="宋体"/>
        </w:rPr>
      </w:pPr>
      <w:r>
        <w:rPr>
          <w:rFonts w:ascii="宋体" w:hAnsi="宋体"/>
        </w:rPr>
        <w:t>5.</w:t>
      </w:r>
      <w:r>
        <w:rPr>
          <w:rFonts w:hint="eastAsia" w:ascii="宋体" w:hAnsi="宋体"/>
        </w:rPr>
        <w:t>服务方案</w:t>
      </w:r>
    </w:p>
    <w:p>
      <w:pPr>
        <w:pStyle w:val="52"/>
        <w:ind w:left="480" w:firstLine="0" w:firstLineChars="0"/>
        <w:rPr>
          <w:rFonts w:ascii="宋体" w:hAnsi="宋体"/>
        </w:rPr>
      </w:pPr>
      <w:r>
        <w:rPr>
          <w:rFonts w:hint="eastAsia" w:ascii="宋体" w:hAnsi="宋体"/>
        </w:rPr>
        <w:t>6</w:t>
      </w:r>
      <w:r>
        <w:rPr>
          <w:rFonts w:ascii="宋体" w:hAnsi="宋体"/>
        </w:rPr>
        <w:t>.</w:t>
      </w:r>
      <w:r>
        <w:rPr>
          <w:rFonts w:hint="eastAsia" w:ascii="宋体" w:hAnsi="宋体"/>
        </w:rPr>
        <w:t>业绩案例</w:t>
      </w:r>
    </w:p>
    <w:p>
      <w:pPr>
        <w:pStyle w:val="52"/>
        <w:ind w:left="480" w:firstLine="0" w:firstLineChars="0"/>
        <w:rPr>
          <w:rFonts w:ascii="宋体" w:hAnsi="宋体"/>
        </w:rPr>
      </w:pPr>
      <w:r>
        <w:rPr>
          <w:rFonts w:hint="eastAsia" w:ascii="宋体" w:hAnsi="宋体"/>
        </w:rPr>
        <w:t>7</w:t>
      </w:r>
      <w:r>
        <w:rPr>
          <w:rFonts w:ascii="宋体" w:hAnsi="宋体"/>
        </w:rPr>
        <w:t>.</w:t>
      </w:r>
      <w:r>
        <w:rPr>
          <w:rFonts w:hint="eastAsia" w:ascii="宋体" w:hAnsi="宋体"/>
        </w:rPr>
        <w:t>项目人员配备</w:t>
      </w:r>
    </w:p>
    <w:p>
      <w:pPr>
        <w:ind w:firstLine="480" w:firstLineChars="200"/>
        <w:rPr>
          <w:rFonts w:ascii="宋体" w:hAnsi="宋体"/>
          <w:szCs w:val="24"/>
        </w:rPr>
      </w:pPr>
      <w:r>
        <w:rPr>
          <w:rFonts w:ascii="宋体" w:hAnsi="宋体"/>
          <w:szCs w:val="24"/>
        </w:rPr>
        <w:t>8</w:t>
      </w:r>
      <w:r>
        <w:rPr>
          <w:rFonts w:ascii="宋体" w:hAnsi="宋体"/>
        </w:rPr>
        <w:t>.</w:t>
      </w:r>
      <w:r>
        <w:rPr>
          <w:rFonts w:ascii="宋体" w:hAnsi="宋体"/>
          <w:szCs w:val="24"/>
        </w:rPr>
        <w:t>其他材料</w:t>
      </w:r>
    </w:p>
    <w:p>
      <w:pPr>
        <w:pStyle w:val="3"/>
        <w:rPr>
          <w:rFonts w:ascii="宋体" w:hAnsi="宋体"/>
        </w:rPr>
      </w:pPr>
      <w:bookmarkStart w:id="3" w:name="_Toc116304850"/>
      <w:r>
        <w:rPr>
          <w:rFonts w:hint="eastAsia" w:ascii="宋体" w:hAnsi="宋体"/>
        </w:rPr>
        <w:t>投标文件要求</w:t>
      </w:r>
      <w:bookmarkEnd w:id="3"/>
    </w:p>
    <w:p>
      <w:pPr>
        <w:pStyle w:val="4"/>
        <w:rPr>
          <w:rFonts w:ascii="宋体" w:hAnsi="宋体"/>
        </w:rPr>
      </w:pPr>
      <w:bookmarkStart w:id="4" w:name="_Toc116304851"/>
      <w:r>
        <w:rPr>
          <w:rFonts w:hint="eastAsia" w:ascii="宋体" w:hAnsi="宋体"/>
        </w:rPr>
        <w:t>投标文件的签署及份数规定</w:t>
      </w:r>
      <w:bookmarkEnd w:id="4"/>
    </w:p>
    <w:p>
      <w:pPr>
        <w:ind w:firstLine="480" w:firstLineChars="200"/>
        <w:rPr>
          <w:rFonts w:ascii="宋体" w:hAnsi="宋体"/>
        </w:rPr>
      </w:pPr>
      <w:r>
        <w:rPr>
          <w:rFonts w:ascii="宋体" w:hAnsi="宋体"/>
        </w:rPr>
        <w:t>(1) 组成投标文件的各项资料均应遵守本条规定。</w:t>
      </w:r>
    </w:p>
    <w:p>
      <w:pPr>
        <w:ind w:firstLine="480" w:firstLineChars="200"/>
        <w:rPr>
          <w:rFonts w:ascii="宋体" w:hAnsi="宋体"/>
        </w:rPr>
      </w:pPr>
      <w:r>
        <w:rPr>
          <w:rFonts w:ascii="宋体" w:hAnsi="宋体"/>
        </w:rPr>
        <w:t>(2) 投标人应填写全称，同时加盖印章。</w:t>
      </w:r>
    </w:p>
    <w:p>
      <w:pPr>
        <w:ind w:firstLine="480" w:firstLineChars="200"/>
        <w:rPr>
          <w:rFonts w:ascii="宋体" w:hAnsi="宋体"/>
        </w:rPr>
      </w:pPr>
      <w:r>
        <w:rPr>
          <w:rFonts w:ascii="宋体" w:hAnsi="宋体"/>
        </w:rPr>
        <w:t>(3) 投标文件一式叁份。其中正本壹份，副本贰份（副本可用正本复印件）。如果正本与副本不符，以正本为准。</w:t>
      </w:r>
    </w:p>
    <w:p>
      <w:pPr>
        <w:ind w:firstLine="480" w:firstLineChars="200"/>
        <w:rPr>
          <w:rFonts w:ascii="宋体" w:hAnsi="宋体"/>
        </w:rPr>
      </w:pPr>
      <w:r>
        <w:rPr>
          <w:rFonts w:ascii="宋体" w:hAnsi="宋体"/>
        </w:rPr>
        <w:t>(4) 投标文件必须用不褪色的墨水书写或打印，页底必须注明连续的页码编号。</w:t>
      </w:r>
    </w:p>
    <w:p>
      <w:pPr>
        <w:ind w:firstLine="480" w:firstLineChars="200"/>
        <w:rPr>
          <w:rFonts w:ascii="宋体" w:hAnsi="宋体"/>
        </w:rPr>
      </w:pPr>
      <w:r>
        <w:rPr>
          <w:rFonts w:ascii="宋体" w:hAnsi="宋体"/>
        </w:rPr>
        <w:t>(5) 投标文件不得涂改和增删，如有错漏处修改，必须由同一签署人签字或盖章。</w:t>
      </w:r>
    </w:p>
    <w:p>
      <w:pPr>
        <w:ind w:firstLine="480" w:firstLineChars="200"/>
        <w:rPr>
          <w:rFonts w:ascii="宋体" w:hAnsi="宋体"/>
        </w:rPr>
      </w:pPr>
      <w:r>
        <w:rPr>
          <w:rFonts w:ascii="宋体" w:hAnsi="宋体"/>
        </w:rPr>
        <w:t>(6) 投标文件因字迹潦草，或表达不清，或不正确书写所引起的后果由报价人负责。</w:t>
      </w:r>
    </w:p>
    <w:p>
      <w:pPr>
        <w:pStyle w:val="4"/>
        <w:rPr>
          <w:rFonts w:ascii="宋体" w:hAnsi="宋体"/>
        </w:rPr>
      </w:pPr>
      <w:bookmarkStart w:id="5" w:name="_Toc116304852"/>
      <w:r>
        <w:rPr>
          <w:rFonts w:ascii="宋体" w:hAnsi="宋体"/>
        </w:rPr>
        <w:t>投标文件的密封和标记</w:t>
      </w:r>
      <w:bookmarkEnd w:id="5"/>
    </w:p>
    <w:p>
      <w:pPr>
        <w:ind w:firstLine="480" w:firstLineChars="200"/>
        <w:rPr>
          <w:rFonts w:ascii="宋体" w:hAnsi="宋体"/>
        </w:rPr>
      </w:pPr>
      <w:r>
        <w:rPr>
          <w:rFonts w:hint="eastAsia" w:ascii="宋体" w:hAnsi="宋体"/>
        </w:rPr>
        <w:t>投标人应将装订好的投标文件正本和所有副本封装在一个包装袋内，按投标人须知规定注明封套，加盖骑缝章，并密封完好。</w:t>
      </w:r>
    </w:p>
    <w:p>
      <w:pPr>
        <w:ind w:firstLine="480" w:firstLineChars="200"/>
        <w:rPr>
          <w:rFonts w:ascii="宋体" w:hAnsi="宋体"/>
        </w:rPr>
      </w:pPr>
      <w:r>
        <w:rPr>
          <w:rFonts w:hint="eastAsia" w:ascii="宋体" w:hAnsi="宋体"/>
        </w:rPr>
        <w:t>未按以上要求密封和加写标记的投标文件，招标人不予受理。</w:t>
      </w:r>
    </w:p>
    <w:p>
      <w:pPr>
        <w:pStyle w:val="4"/>
        <w:rPr>
          <w:rFonts w:ascii="宋体" w:hAnsi="宋体"/>
        </w:rPr>
      </w:pPr>
      <w:bookmarkStart w:id="6" w:name="_Toc116304853"/>
      <w:r>
        <w:rPr>
          <w:rFonts w:hint="eastAsia" w:ascii="宋体" w:hAnsi="宋体"/>
        </w:rPr>
        <w:t>无效报价</w:t>
      </w:r>
      <w:bookmarkEnd w:id="6"/>
    </w:p>
    <w:p>
      <w:pPr>
        <w:ind w:firstLine="480" w:firstLineChars="200"/>
        <w:rPr>
          <w:rFonts w:ascii="宋体" w:hAnsi="宋体"/>
        </w:rPr>
      </w:pPr>
      <w:r>
        <w:rPr>
          <w:rFonts w:hint="eastAsia" w:ascii="宋体" w:hAnsi="宋体"/>
        </w:rPr>
        <w:t>发生下列情况之一者，视为无效报价。</w:t>
      </w:r>
    </w:p>
    <w:p>
      <w:pPr>
        <w:ind w:firstLine="480" w:firstLineChars="200"/>
        <w:rPr>
          <w:rFonts w:ascii="宋体" w:hAnsi="宋体"/>
        </w:rPr>
      </w:pPr>
      <w:r>
        <w:rPr>
          <w:rFonts w:ascii="宋体" w:hAnsi="宋体"/>
        </w:rPr>
        <w:t>(1) 投标文件未按本招标文件的规定密封或投标文件未按规定加盖公章或签字。</w:t>
      </w:r>
    </w:p>
    <w:p>
      <w:pPr>
        <w:ind w:firstLine="480" w:firstLineChars="200"/>
        <w:rPr>
          <w:rFonts w:ascii="宋体" w:hAnsi="宋体"/>
        </w:rPr>
      </w:pPr>
      <w:r>
        <w:rPr>
          <w:rFonts w:ascii="宋体" w:hAnsi="宋体"/>
        </w:rPr>
        <w:t>(2) 投标文件未按本招标文件的规定格式、内容填写或投标文件内容与招标文件有严重背离。</w:t>
      </w:r>
    </w:p>
    <w:p>
      <w:pPr>
        <w:ind w:firstLine="480" w:firstLineChars="200"/>
        <w:rPr>
          <w:rFonts w:ascii="宋体" w:hAnsi="宋体"/>
        </w:rPr>
      </w:pPr>
      <w:r>
        <w:rPr>
          <w:rFonts w:ascii="宋体" w:hAnsi="宋体"/>
        </w:rPr>
        <w:t>(3) 在投标文件中有两个以上的报价，且未明确哪个报价有效。</w:t>
      </w:r>
    </w:p>
    <w:p>
      <w:pPr>
        <w:ind w:firstLine="480" w:firstLineChars="200"/>
        <w:rPr>
          <w:rFonts w:ascii="宋体" w:hAnsi="宋体"/>
        </w:rPr>
      </w:pPr>
      <w:r>
        <w:rPr>
          <w:rFonts w:ascii="宋体" w:hAnsi="宋体"/>
        </w:rPr>
        <w:t>(4) 其它不符合招标文件要求的报价。</w:t>
      </w:r>
    </w:p>
    <w:p>
      <w:pPr>
        <w:pStyle w:val="3"/>
        <w:rPr>
          <w:rFonts w:ascii="宋体" w:hAnsi="宋体"/>
        </w:rPr>
      </w:pPr>
      <w:bookmarkStart w:id="7" w:name="_Toc116304854"/>
      <w:r>
        <w:rPr>
          <w:rFonts w:hint="eastAsia" w:ascii="宋体" w:hAnsi="宋体"/>
        </w:rPr>
        <w:t>投标文件的递交</w:t>
      </w:r>
      <w:bookmarkEnd w:id="7"/>
    </w:p>
    <w:p>
      <w:pPr>
        <w:ind w:firstLine="480" w:firstLineChars="200"/>
        <w:rPr>
          <w:rFonts w:ascii="宋体" w:hAnsi="宋体"/>
        </w:rPr>
      </w:pPr>
      <w:r>
        <w:rPr>
          <w:rFonts w:ascii="宋体" w:hAnsi="宋体"/>
        </w:rPr>
        <w:t>1.投标人应按投标人须知中规定的时间之前递交投标文件。</w:t>
      </w:r>
    </w:p>
    <w:p>
      <w:pPr>
        <w:ind w:firstLine="480" w:firstLineChars="200"/>
        <w:rPr>
          <w:rFonts w:ascii="宋体" w:hAnsi="宋体"/>
        </w:rPr>
      </w:pPr>
      <w:r>
        <w:rPr>
          <w:rFonts w:ascii="宋体" w:hAnsi="宋体"/>
        </w:rPr>
        <w:t>2.投标人递交投标文件的地点：见投标人须知</w:t>
      </w:r>
    </w:p>
    <w:p>
      <w:pPr>
        <w:ind w:firstLine="480" w:firstLineChars="200"/>
        <w:rPr>
          <w:rFonts w:ascii="宋体" w:hAnsi="宋体"/>
        </w:rPr>
      </w:pPr>
      <w:r>
        <w:rPr>
          <w:rFonts w:ascii="宋体" w:hAnsi="宋体"/>
        </w:rPr>
        <w:t>3.投标人所递交的投标文件不予退还。</w:t>
      </w:r>
    </w:p>
    <w:p>
      <w:pPr>
        <w:ind w:firstLine="480" w:firstLineChars="200"/>
        <w:rPr>
          <w:rFonts w:ascii="宋体" w:hAnsi="宋体"/>
        </w:rPr>
      </w:pPr>
      <w:r>
        <w:rPr>
          <w:rFonts w:ascii="宋体" w:hAnsi="宋体"/>
        </w:rPr>
        <w:t>4.逾期送达的或者未送达指定地点的投标文件，招标人不予受理。</w:t>
      </w:r>
    </w:p>
    <w:p>
      <w:pPr>
        <w:pStyle w:val="3"/>
        <w:rPr>
          <w:rFonts w:ascii="宋体" w:hAnsi="宋体"/>
        </w:rPr>
      </w:pPr>
      <w:bookmarkStart w:id="8" w:name="_Toc116304855"/>
      <w:r>
        <w:rPr>
          <w:rFonts w:hint="eastAsia" w:ascii="宋体" w:hAnsi="宋体"/>
        </w:rPr>
        <w:t>投标文件的修改和撤回</w:t>
      </w:r>
      <w:bookmarkEnd w:id="8"/>
    </w:p>
    <w:p>
      <w:pPr>
        <w:ind w:firstLine="480" w:firstLineChars="200"/>
        <w:rPr>
          <w:rFonts w:ascii="宋体" w:hAnsi="宋体"/>
        </w:rPr>
      </w:pPr>
      <w:r>
        <w:rPr>
          <w:rFonts w:ascii="宋体" w:hAnsi="宋体"/>
        </w:rPr>
        <w:t>1.在规定的投标截止时间前，投标人可以修改或撤回已递交的投标文件，但应以书面形式通知招标人。</w:t>
      </w:r>
    </w:p>
    <w:p>
      <w:pPr>
        <w:ind w:firstLine="480" w:firstLineChars="200"/>
        <w:rPr>
          <w:rFonts w:ascii="宋体" w:hAnsi="宋体"/>
        </w:rPr>
      </w:pPr>
      <w:r>
        <w:rPr>
          <w:rFonts w:ascii="宋体" w:hAnsi="宋体"/>
        </w:rPr>
        <w:t>2.投标人修改或撤回已递交投标文件的书面通知应按照要求签字或盖章并在开标之前递交给投标联系人。</w:t>
      </w:r>
    </w:p>
    <w:p>
      <w:pPr>
        <w:ind w:firstLine="480" w:firstLineChars="200"/>
        <w:rPr>
          <w:rFonts w:ascii="宋体" w:hAnsi="宋体"/>
        </w:rPr>
      </w:pPr>
      <w:r>
        <w:rPr>
          <w:rFonts w:ascii="宋体" w:hAnsi="宋体"/>
        </w:rPr>
        <w:t>3.修改的内容为投标文件的组成部分。修改的投标文件应按照投标人须知规定进行编制、</w:t>
      </w:r>
      <w:r>
        <w:rPr>
          <w:rFonts w:hint="eastAsia" w:ascii="宋体" w:hAnsi="宋体"/>
        </w:rPr>
        <w:t>密封、标记和递交，并标明“修改”字样。</w:t>
      </w:r>
    </w:p>
    <w:p>
      <w:pPr>
        <w:pStyle w:val="3"/>
        <w:rPr>
          <w:rFonts w:ascii="宋体" w:hAnsi="宋体"/>
        </w:rPr>
      </w:pPr>
      <w:bookmarkStart w:id="9" w:name="_Toc116304856"/>
      <w:r>
        <w:rPr>
          <w:rFonts w:hint="eastAsia" w:ascii="宋体" w:hAnsi="宋体"/>
        </w:rPr>
        <w:t>开标</w:t>
      </w:r>
      <w:bookmarkEnd w:id="9"/>
    </w:p>
    <w:p>
      <w:pPr>
        <w:spacing w:line="360" w:lineRule="auto"/>
        <w:ind w:firstLine="480" w:firstLineChars="200"/>
        <w:contextualSpacing/>
        <w:jc w:val="left"/>
        <w:rPr>
          <w:rFonts w:ascii="宋体" w:hAnsi="宋体" w:cs="仿宋"/>
          <w:szCs w:val="24"/>
        </w:rPr>
      </w:pPr>
      <w:r>
        <w:rPr>
          <w:rFonts w:ascii="宋体" w:hAnsi="宋体" w:cs="仿宋"/>
          <w:szCs w:val="24"/>
        </w:rPr>
        <w:t>招标人在投标人须知中规定的投标截止时间（开标时间）和地点开标。</w:t>
      </w:r>
    </w:p>
    <w:p>
      <w:pPr>
        <w:pStyle w:val="3"/>
        <w:rPr>
          <w:rFonts w:ascii="宋体" w:hAnsi="宋体"/>
        </w:rPr>
      </w:pPr>
      <w:bookmarkStart w:id="10" w:name="_Toc116304857"/>
      <w:bookmarkStart w:id="11" w:name="_Toc440205466"/>
      <w:bookmarkStart w:id="12" w:name="_Toc440201658"/>
      <w:bookmarkStart w:id="13" w:name="_Toc104473059"/>
      <w:r>
        <w:rPr>
          <w:rFonts w:hint="eastAsia" w:ascii="宋体" w:hAnsi="宋体"/>
        </w:rPr>
        <w:t>评标</w:t>
      </w:r>
      <w:bookmarkEnd w:id="10"/>
      <w:bookmarkEnd w:id="11"/>
      <w:bookmarkEnd w:id="12"/>
      <w:bookmarkEnd w:id="13"/>
    </w:p>
    <w:p>
      <w:pPr>
        <w:pStyle w:val="4"/>
        <w:rPr>
          <w:rFonts w:ascii="宋体" w:hAnsi="宋体"/>
        </w:rPr>
      </w:pPr>
      <w:bookmarkStart w:id="14" w:name="_Toc116304858"/>
      <w:r>
        <w:rPr>
          <w:rFonts w:ascii="宋体" w:hAnsi="宋体"/>
        </w:rPr>
        <w:t>评标委员会</w:t>
      </w:r>
      <w:bookmarkEnd w:id="14"/>
    </w:p>
    <w:p>
      <w:pPr>
        <w:ind w:firstLine="480" w:firstLineChars="200"/>
        <w:rPr>
          <w:rFonts w:ascii="宋体" w:hAnsi="宋体"/>
        </w:rPr>
      </w:pPr>
      <w:r>
        <w:rPr>
          <w:rFonts w:ascii="宋体" w:hAnsi="宋体"/>
        </w:rPr>
        <w:t>评标由招标人组建的评标委员会负责。评标委员会由招标人组织相关专业人员组成。</w:t>
      </w:r>
    </w:p>
    <w:p>
      <w:pPr>
        <w:pStyle w:val="4"/>
        <w:rPr>
          <w:rFonts w:ascii="宋体" w:hAnsi="宋体"/>
        </w:rPr>
      </w:pPr>
      <w:bookmarkStart w:id="15" w:name="_Toc116304859"/>
      <w:r>
        <w:rPr>
          <w:rFonts w:ascii="宋体" w:hAnsi="宋体"/>
        </w:rPr>
        <w:t>标委员会成员有下列情形之一的，应当回避：</w:t>
      </w:r>
      <w:bookmarkEnd w:id="15"/>
    </w:p>
    <w:p>
      <w:pPr>
        <w:ind w:firstLine="480" w:firstLineChars="200"/>
        <w:rPr>
          <w:rFonts w:ascii="宋体" w:hAnsi="宋体"/>
        </w:rPr>
      </w:pPr>
      <w:r>
        <w:rPr>
          <w:rFonts w:ascii="宋体" w:hAnsi="宋体"/>
        </w:rPr>
        <w:t>（1）招标人或投标人的主要人员的近亲属；</w:t>
      </w:r>
    </w:p>
    <w:p>
      <w:pPr>
        <w:ind w:firstLine="480" w:firstLineChars="200"/>
        <w:rPr>
          <w:rFonts w:ascii="宋体" w:hAnsi="宋体"/>
        </w:rPr>
      </w:pPr>
      <w:r>
        <w:rPr>
          <w:rFonts w:ascii="宋体" w:hAnsi="宋体"/>
        </w:rPr>
        <w:t>（2）单位主管部门或者行政监督部门的人员；</w:t>
      </w:r>
    </w:p>
    <w:p>
      <w:pPr>
        <w:ind w:firstLine="480" w:firstLineChars="200"/>
        <w:rPr>
          <w:rFonts w:ascii="宋体" w:hAnsi="宋体"/>
        </w:rPr>
      </w:pPr>
      <w:r>
        <w:rPr>
          <w:rFonts w:ascii="宋体" w:hAnsi="宋体"/>
        </w:rPr>
        <w:t>（3）与投标人有经济利益关系，可能影响对投标公正评审的；</w:t>
      </w:r>
    </w:p>
    <w:p>
      <w:pPr>
        <w:ind w:firstLine="480" w:firstLineChars="200"/>
        <w:rPr>
          <w:rFonts w:ascii="宋体" w:hAnsi="宋体"/>
        </w:rPr>
      </w:pPr>
      <w:r>
        <w:rPr>
          <w:rFonts w:ascii="宋体" w:hAnsi="宋体"/>
        </w:rPr>
        <w:t>（4）曾因在招标、评标以及其他与招标投标有关活动中从事违法行为而受过行政处罚或刑事处罚的。</w:t>
      </w:r>
    </w:p>
    <w:p>
      <w:pPr>
        <w:pStyle w:val="4"/>
        <w:rPr>
          <w:rFonts w:ascii="宋体" w:hAnsi="宋体"/>
        </w:rPr>
      </w:pPr>
      <w:bookmarkStart w:id="16" w:name="_Toc116304860"/>
      <w:r>
        <w:rPr>
          <w:rFonts w:ascii="宋体" w:hAnsi="宋体"/>
        </w:rPr>
        <w:t>评标原则</w:t>
      </w:r>
      <w:bookmarkEnd w:id="16"/>
      <w:r>
        <w:rPr>
          <w:rFonts w:ascii="宋体" w:hAnsi="宋体"/>
        </w:rPr>
        <w:tab/>
      </w:r>
    </w:p>
    <w:p>
      <w:pPr>
        <w:ind w:firstLine="480" w:firstLineChars="200"/>
        <w:rPr>
          <w:rFonts w:ascii="宋体" w:hAnsi="宋体"/>
        </w:rPr>
      </w:pPr>
      <w:r>
        <w:rPr>
          <w:rFonts w:ascii="宋体" w:hAnsi="宋体"/>
        </w:rPr>
        <w:t>（1）评标活动遵循公平、公正、科学和择优的原则，严格按照评标办法进行评审。公开开标后，由项目招标小组对投标人的公司实力、技术和服务水平、项目方案、项目报价、相关实施经验等进行综合评分。综合评分最高者为中标单位。</w:t>
      </w:r>
    </w:p>
    <w:p>
      <w:pPr>
        <w:ind w:firstLine="480" w:firstLineChars="200"/>
        <w:rPr>
          <w:rFonts w:ascii="宋体" w:hAnsi="宋体"/>
        </w:rPr>
      </w:pPr>
      <w:r>
        <w:rPr>
          <w:rFonts w:ascii="宋体" w:hAnsi="宋体"/>
        </w:rPr>
        <w:t>（2）公开开标后直到宣布授予中标人合同为止，参加评标人员不得向投标人或与该过程有关的其他人泄露评标情况。</w:t>
      </w:r>
    </w:p>
    <w:p>
      <w:pPr>
        <w:ind w:firstLine="480" w:firstLineChars="200"/>
        <w:rPr>
          <w:rFonts w:ascii="宋体" w:hAnsi="宋体"/>
        </w:rPr>
      </w:pPr>
      <w:r>
        <w:rPr>
          <w:rFonts w:ascii="宋体" w:hAnsi="宋体"/>
        </w:rPr>
        <w:t>（3）评标过程中，评标小组可以要求投标人对投标文件含义不明确的内容作必要的澄清或说明，但是澄清或说明不得超出投标文件范围和改变投标文件的实质性内容。</w:t>
      </w:r>
    </w:p>
    <w:p>
      <w:pPr>
        <w:ind w:firstLine="480" w:firstLineChars="200"/>
        <w:rPr>
          <w:rFonts w:ascii="宋体" w:hAnsi="宋体"/>
        </w:rPr>
      </w:pPr>
      <w:r>
        <w:rPr>
          <w:rFonts w:ascii="宋体" w:hAnsi="宋体"/>
        </w:rPr>
        <w:t>（4）投标人在投标的审查、澄清、评价和比较以及授予合同的过程中，对招标小组成</w:t>
      </w:r>
      <w:r>
        <w:rPr>
          <w:rFonts w:hint="eastAsia" w:ascii="宋体" w:hAnsi="宋体"/>
        </w:rPr>
        <w:t>员施加影响的任何行为，都将导致取消其中标资格。</w:t>
      </w:r>
    </w:p>
    <w:p>
      <w:pPr>
        <w:ind w:firstLine="480" w:firstLineChars="200"/>
        <w:rPr>
          <w:rFonts w:ascii="宋体" w:hAnsi="宋体"/>
        </w:rPr>
      </w:pPr>
      <w:r>
        <w:rPr>
          <w:rFonts w:hint="eastAsia" w:ascii="宋体" w:hAnsi="宋体"/>
        </w:rPr>
        <w:t>（</w:t>
      </w:r>
      <w:r>
        <w:rPr>
          <w:rFonts w:ascii="宋体" w:hAnsi="宋体"/>
        </w:rPr>
        <w:t>5）各投标人应尊重招标小组做出的最后选择，不得在投标结束后以任何方式做出妨碍招标方工作、损害招标方利益的行为；否则，招标方有权依法追究其责任，给招标方造成损失的应予以赔偿，并在今后的项目建设中将不再考虑与该投标方进行合作。</w:t>
      </w:r>
    </w:p>
    <w:p>
      <w:pPr>
        <w:ind w:firstLine="480" w:firstLineChars="200"/>
        <w:rPr>
          <w:rFonts w:ascii="宋体" w:hAnsi="宋体"/>
        </w:rPr>
      </w:pPr>
      <w:r>
        <w:rPr>
          <w:rFonts w:hint="eastAsia" w:ascii="宋体" w:hAnsi="宋体"/>
        </w:rPr>
        <w:t>（</w:t>
      </w:r>
      <w:r>
        <w:rPr>
          <w:rFonts w:ascii="宋体" w:hAnsi="宋体"/>
        </w:rPr>
        <w:t>6）招标人确定排名第一的中标候选人为中标人。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招标人（法人或法人委托代理人）和中标人应当自中标通知书发出之日起30天内，根据招标文件和中标人的投标文件订立书面合同。</w:t>
      </w:r>
    </w:p>
    <w:p>
      <w:pPr>
        <w:pStyle w:val="3"/>
        <w:rPr>
          <w:rFonts w:ascii="宋体" w:hAnsi="宋体"/>
        </w:rPr>
      </w:pPr>
      <w:bookmarkStart w:id="17" w:name="_Toc116304861"/>
      <w:r>
        <w:rPr>
          <w:rFonts w:hint="eastAsia" w:ascii="宋体" w:hAnsi="宋体"/>
        </w:rPr>
        <w:t>废标处理条件</w:t>
      </w:r>
      <w:bookmarkEnd w:id="17"/>
    </w:p>
    <w:p>
      <w:pPr>
        <w:ind w:firstLine="480" w:firstLineChars="200"/>
        <w:rPr>
          <w:rFonts w:ascii="宋体" w:hAnsi="宋体"/>
        </w:rPr>
      </w:pPr>
      <w:r>
        <w:rPr>
          <w:rFonts w:ascii="宋体" w:hAnsi="宋体"/>
        </w:rPr>
        <w:t>1.</w:t>
      </w:r>
      <w:r>
        <w:rPr>
          <w:rFonts w:ascii="宋体" w:hAnsi="宋体"/>
        </w:rPr>
        <w:tab/>
      </w:r>
      <w:r>
        <w:rPr>
          <w:rFonts w:ascii="宋体" w:hAnsi="宋体"/>
        </w:rPr>
        <w:t>串通投标或弄虚作假或有其他违法行为的。</w:t>
      </w:r>
    </w:p>
    <w:p>
      <w:pPr>
        <w:ind w:firstLine="480" w:firstLineChars="200"/>
        <w:rPr>
          <w:rFonts w:ascii="宋体" w:hAnsi="宋体"/>
        </w:rPr>
      </w:pPr>
      <w:r>
        <w:rPr>
          <w:rFonts w:hint="eastAsia" w:ascii="宋体" w:hAnsi="宋体"/>
        </w:rPr>
        <w:t>串通投标行为是指：</w:t>
      </w:r>
    </w:p>
    <w:p>
      <w:pPr>
        <w:ind w:firstLine="480" w:firstLineChars="200"/>
        <w:rPr>
          <w:rFonts w:ascii="宋体" w:hAnsi="宋体"/>
        </w:rPr>
      </w:pPr>
      <w:r>
        <w:rPr>
          <w:rFonts w:hint="eastAsia" w:ascii="宋体" w:hAnsi="宋体"/>
        </w:rPr>
        <w:t>（</w:t>
      </w:r>
      <w:r>
        <w:rPr>
          <w:rFonts w:ascii="宋体" w:hAnsi="宋体"/>
        </w:rPr>
        <w:t>a）不同供应商委托同一人投标；</w:t>
      </w:r>
    </w:p>
    <w:p>
      <w:pPr>
        <w:ind w:firstLine="480" w:firstLineChars="200"/>
        <w:rPr>
          <w:rFonts w:ascii="宋体" w:hAnsi="宋体"/>
        </w:rPr>
      </w:pPr>
      <w:r>
        <w:rPr>
          <w:rFonts w:hint="eastAsia" w:ascii="宋体" w:hAnsi="宋体"/>
        </w:rPr>
        <w:t>（</w:t>
      </w:r>
      <w:r>
        <w:rPr>
          <w:rFonts w:ascii="宋体" w:hAnsi="宋体"/>
        </w:rPr>
        <w:t>b）不同供应商的投标文件载明的项目管理班子成员出现同一人的；</w:t>
      </w:r>
    </w:p>
    <w:p>
      <w:pPr>
        <w:ind w:firstLine="480" w:firstLineChars="200"/>
        <w:rPr>
          <w:rFonts w:ascii="宋体" w:hAnsi="宋体"/>
        </w:rPr>
      </w:pPr>
      <w:r>
        <w:rPr>
          <w:rFonts w:hint="eastAsia" w:ascii="宋体" w:hAnsi="宋体"/>
        </w:rPr>
        <w:t>（</w:t>
      </w:r>
      <w:r>
        <w:rPr>
          <w:rFonts w:ascii="宋体" w:hAnsi="宋体"/>
        </w:rPr>
        <w:t>c）不同供应商的投标文件相互混装的；</w:t>
      </w:r>
    </w:p>
    <w:p>
      <w:pPr>
        <w:ind w:firstLine="480" w:firstLineChars="200"/>
        <w:rPr>
          <w:rFonts w:ascii="宋体" w:hAnsi="宋体"/>
        </w:rPr>
      </w:pPr>
      <w:r>
        <w:rPr>
          <w:rFonts w:ascii="宋体" w:hAnsi="宋体"/>
        </w:rPr>
        <w:t>2.</w:t>
      </w:r>
      <w:r>
        <w:rPr>
          <w:rFonts w:ascii="宋体" w:hAnsi="宋体"/>
        </w:rPr>
        <w:tab/>
      </w:r>
      <w:r>
        <w:rPr>
          <w:rFonts w:ascii="宋体" w:hAnsi="宋体"/>
        </w:rPr>
        <w:t>逾期送达的投标文件；</w:t>
      </w:r>
    </w:p>
    <w:p>
      <w:pPr>
        <w:ind w:firstLine="480" w:firstLineChars="200"/>
        <w:rPr>
          <w:rFonts w:ascii="宋体" w:hAnsi="宋体"/>
        </w:rPr>
      </w:pPr>
      <w:r>
        <w:rPr>
          <w:rFonts w:ascii="宋体" w:hAnsi="宋体"/>
        </w:rPr>
        <w:t>3.</w:t>
      </w:r>
      <w:r>
        <w:rPr>
          <w:rFonts w:ascii="宋体" w:hAnsi="宋体"/>
        </w:rPr>
        <w:tab/>
      </w:r>
      <w:r>
        <w:rPr>
          <w:rFonts w:ascii="宋体" w:hAnsi="宋体"/>
        </w:rPr>
        <w:t xml:space="preserve">投标文件有关内容未按规定加盖供应商公章或未经法定代表人（负责人）或其委托代理人签字或盖章的； </w:t>
      </w:r>
    </w:p>
    <w:p>
      <w:pPr>
        <w:ind w:firstLine="480" w:firstLineChars="200"/>
        <w:rPr>
          <w:rFonts w:ascii="宋体" w:hAnsi="宋体"/>
        </w:rPr>
      </w:pPr>
      <w:r>
        <w:rPr>
          <w:rFonts w:ascii="宋体" w:hAnsi="宋体"/>
        </w:rPr>
        <w:t>4.</w:t>
      </w:r>
      <w:r>
        <w:rPr>
          <w:rFonts w:ascii="宋体" w:hAnsi="宋体"/>
        </w:rPr>
        <w:tab/>
      </w:r>
      <w:r>
        <w:rPr>
          <w:rFonts w:ascii="宋体" w:hAnsi="宋体"/>
        </w:rPr>
        <w:t>投标文件份数、装订、密封和标记不符合招标文件要求的；投标文件未胶装的。</w:t>
      </w:r>
    </w:p>
    <w:p>
      <w:pPr>
        <w:ind w:firstLine="480" w:firstLineChars="200"/>
        <w:rPr>
          <w:rFonts w:ascii="宋体" w:hAnsi="宋体"/>
        </w:rPr>
      </w:pPr>
      <w:r>
        <w:rPr>
          <w:rFonts w:ascii="宋体" w:hAnsi="宋体"/>
        </w:rPr>
        <w:t>5.</w:t>
      </w:r>
      <w:r>
        <w:rPr>
          <w:rFonts w:ascii="宋体" w:hAnsi="宋体"/>
        </w:rPr>
        <w:tab/>
      </w:r>
      <w:r>
        <w:rPr>
          <w:rFonts w:ascii="宋体" w:hAnsi="宋体"/>
        </w:rPr>
        <w:t>供应商递交两份或多份内容不同的投标文件；或在一份投标文件中对同一招标项目报有两个或多个报价的，且未书面声明以哪个报价为准。</w:t>
      </w:r>
    </w:p>
    <w:p>
      <w:pPr>
        <w:ind w:firstLine="480" w:firstLineChars="200"/>
        <w:rPr>
          <w:rFonts w:ascii="宋体" w:hAnsi="宋体"/>
        </w:rPr>
      </w:pPr>
      <w:r>
        <w:rPr>
          <w:rFonts w:ascii="宋体" w:hAnsi="宋体"/>
        </w:rPr>
        <w:t>6.</w:t>
      </w:r>
      <w:r>
        <w:rPr>
          <w:rFonts w:ascii="宋体" w:hAnsi="宋体"/>
        </w:rPr>
        <w:tab/>
      </w:r>
      <w:r>
        <w:rPr>
          <w:rFonts w:ascii="宋体" w:hAnsi="宋体"/>
        </w:rPr>
        <w:t>被招投标监督管理部门或行业主管部门取消投标资格并在处罚期内的；</w:t>
      </w:r>
    </w:p>
    <w:p>
      <w:pPr>
        <w:ind w:firstLine="480" w:firstLineChars="200"/>
        <w:rPr>
          <w:rFonts w:ascii="宋体" w:hAnsi="宋体"/>
        </w:rPr>
      </w:pPr>
      <w:r>
        <w:rPr>
          <w:rFonts w:ascii="宋体" w:hAnsi="宋体"/>
        </w:rPr>
        <w:t>7.</w:t>
      </w:r>
      <w:r>
        <w:rPr>
          <w:rFonts w:ascii="宋体" w:hAnsi="宋体"/>
        </w:rPr>
        <w:tab/>
      </w:r>
      <w:r>
        <w:rPr>
          <w:rFonts w:ascii="宋体" w:hAnsi="宋体"/>
        </w:rPr>
        <w:t>不按招标小组要求澄清、说明或补正的。</w:t>
      </w:r>
    </w:p>
    <w:p>
      <w:pPr>
        <w:ind w:firstLine="480" w:firstLineChars="200"/>
        <w:rPr>
          <w:rFonts w:ascii="宋体" w:hAnsi="宋体"/>
        </w:rPr>
      </w:pPr>
      <w:r>
        <w:rPr>
          <w:rFonts w:ascii="宋体" w:hAnsi="宋体"/>
        </w:rPr>
        <w:t>8.</w:t>
      </w:r>
      <w:r>
        <w:rPr>
          <w:rFonts w:ascii="宋体" w:hAnsi="宋体"/>
        </w:rPr>
        <w:tab/>
      </w:r>
      <w:r>
        <w:rPr>
          <w:rFonts w:ascii="宋体" w:hAnsi="宋体"/>
        </w:rPr>
        <w:t>投标文件中的报价单及其它内容相应位置处没有盖章的。</w:t>
      </w:r>
    </w:p>
    <w:p>
      <w:pPr>
        <w:ind w:firstLine="480" w:firstLineChars="200"/>
        <w:rPr>
          <w:rFonts w:ascii="宋体" w:hAnsi="宋体"/>
        </w:rPr>
      </w:pPr>
      <w:r>
        <w:rPr>
          <w:rFonts w:ascii="宋体" w:hAnsi="宋体"/>
        </w:rPr>
        <w:t>9.</w:t>
      </w:r>
      <w:r>
        <w:rPr>
          <w:rFonts w:ascii="宋体" w:hAnsi="宋体"/>
        </w:rPr>
        <w:tab/>
      </w:r>
      <w:r>
        <w:rPr>
          <w:rFonts w:ascii="宋体" w:hAnsi="宋体"/>
        </w:rPr>
        <w:t>投标文件中投标报价或其它实质性要求不能满足招标文件要求。</w:t>
      </w:r>
    </w:p>
    <w:p>
      <w:pPr>
        <w:ind w:firstLine="480" w:firstLineChars="200"/>
        <w:rPr>
          <w:rFonts w:ascii="宋体" w:hAnsi="宋体"/>
        </w:rPr>
      </w:pPr>
      <w:r>
        <w:rPr>
          <w:rFonts w:ascii="宋体" w:hAnsi="宋体"/>
        </w:rPr>
        <w:t>10. 未按规定的格式填写，实质性内容不全或关键字迹模糊、无法辨认的。</w:t>
      </w:r>
    </w:p>
    <w:p>
      <w:pPr>
        <w:ind w:firstLine="480" w:firstLineChars="200"/>
        <w:rPr>
          <w:rFonts w:ascii="宋体" w:hAnsi="宋体"/>
        </w:rPr>
      </w:pPr>
      <w:r>
        <w:rPr>
          <w:rFonts w:ascii="宋体" w:hAnsi="宋体"/>
        </w:rPr>
        <w:t>11. 投标文件中存在采购人不能接受的其它实质性条件。</w:t>
      </w:r>
    </w:p>
    <w:p>
      <w:pPr>
        <w:ind w:firstLine="480" w:firstLineChars="200"/>
        <w:rPr>
          <w:rFonts w:ascii="宋体" w:hAnsi="宋体"/>
        </w:rPr>
      </w:pPr>
      <w:r>
        <w:rPr>
          <w:rFonts w:ascii="宋体" w:hAnsi="宋体"/>
        </w:rPr>
        <w:t>12. 法律、法规规定的其它情形。</w:t>
      </w:r>
    </w:p>
    <w:p>
      <w:pPr>
        <w:pStyle w:val="3"/>
        <w:rPr>
          <w:rFonts w:ascii="宋体" w:hAnsi="宋体"/>
        </w:rPr>
      </w:pPr>
      <w:bookmarkStart w:id="18" w:name="_Toc116304862"/>
      <w:r>
        <w:rPr>
          <w:rFonts w:hint="eastAsia" w:ascii="宋体" w:hAnsi="宋体"/>
        </w:rPr>
        <w:t>纪律和监督</w:t>
      </w:r>
      <w:bookmarkEnd w:id="18"/>
    </w:p>
    <w:p>
      <w:pPr>
        <w:ind w:firstLine="480" w:firstLineChars="200"/>
        <w:rPr>
          <w:rFonts w:ascii="宋体" w:hAnsi="宋体"/>
        </w:rPr>
      </w:pPr>
      <w:r>
        <w:rPr>
          <w:rFonts w:ascii="宋体" w:hAnsi="宋体"/>
        </w:rPr>
        <w:t>1.对招标人的纪律要求: 招标人不得泄漏招标投标活动中应当保密的情况和资料，不得与投标人串通损害国家利益、社会公共利益或者他人法权益。</w:t>
      </w:r>
    </w:p>
    <w:p>
      <w:pPr>
        <w:ind w:firstLine="480" w:firstLineChars="200"/>
        <w:rPr>
          <w:rFonts w:ascii="宋体" w:hAnsi="宋体"/>
        </w:rPr>
      </w:pPr>
      <w:r>
        <w:rPr>
          <w:rFonts w:ascii="宋体" w:hAnsi="宋体"/>
        </w:rPr>
        <w:t>2.对投标人的纪律要求:投标人不得相互串通投标或者与招标人串通投标，不得向招标人或者评标委员会成员行贿谋取中标，不得以他人名义响评标工作。</w:t>
      </w:r>
    </w:p>
    <w:p>
      <w:pPr>
        <w:ind w:firstLine="480" w:firstLineChars="200"/>
        <w:rPr>
          <w:rFonts w:ascii="宋体" w:hAnsi="宋体"/>
        </w:rPr>
      </w:pPr>
      <w:r>
        <w:rPr>
          <w:rFonts w:ascii="宋体" w:hAnsi="宋体"/>
        </w:rPr>
        <w:t>3.对评标委员会成员的纪律要求: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ind w:firstLine="480" w:firstLineChars="200"/>
        <w:rPr>
          <w:rFonts w:ascii="宋体" w:hAnsi="宋体"/>
        </w:rPr>
      </w:pPr>
      <w:r>
        <w:rPr>
          <w:rFonts w:ascii="宋体" w:hAnsi="宋体"/>
        </w:rPr>
        <w:t>4.对与评标活动有关的工作人员的纪律要求: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ind w:firstLine="480" w:firstLineChars="200"/>
        <w:rPr>
          <w:rFonts w:ascii="宋体" w:hAnsi="宋体"/>
        </w:rPr>
      </w:pPr>
      <w:r>
        <w:rPr>
          <w:rFonts w:ascii="宋体" w:hAnsi="宋体"/>
        </w:rPr>
        <w:t>5</w:t>
      </w:r>
      <w:r>
        <w:rPr>
          <w:rFonts w:hint="eastAsia" w:ascii="宋体" w:hAnsi="宋体"/>
        </w:rPr>
        <w:t>.</w:t>
      </w:r>
      <w:r>
        <w:rPr>
          <w:rFonts w:ascii="宋体" w:hAnsi="宋体"/>
        </w:rPr>
        <w:t>投诉投标人和其他利害关系人认为本次招标活动违反法律、法规和规章规定的，有权向有关行政监督部门投诉。</w:t>
      </w:r>
    </w:p>
    <w:p>
      <w:pPr>
        <w:pStyle w:val="2"/>
        <w:spacing w:after="360"/>
        <w:rPr>
          <w:rFonts w:ascii="宋体" w:hAnsi="宋体"/>
        </w:rPr>
      </w:pPr>
      <w:bookmarkStart w:id="19" w:name="_Toc116304863"/>
      <w:r>
        <w:rPr>
          <w:rFonts w:hint="eastAsia" w:ascii="宋体" w:hAnsi="宋体"/>
        </w:rPr>
        <w:t>采购需求</w:t>
      </w:r>
      <w:bookmarkEnd w:id="19"/>
    </w:p>
    <w:p>
      <w:pPr>
        <w:pStyle w:val="3"/>
        <w:rPr>
          <w:rFonts w:ascii="宋体" w:hAnsi="宋体" w:cs="宋体"/>
          <w:color w:val="000000"/>
          <w:shd w:val="clear" w:color="auto" w:fill="FFFFFF"/>
        </w:rPr>
      </w:pPr>
      <w:bookmarkStart w:id="20" w:name="_Toc116304864"/>
      <w:bookmarkStart w:id="21" w:name="_Toc53217151"/>
      <w:r>
        <w:rPr>
          <w:rFonts w:ascii="宋体" w:hAnsi="宋体"/>
        </w:rPr>
        <w:t>项目概况</w:t>
      </w:r>
      <w:bookmarkEnd w:id="20"/>
      <w:bookmarkEnd w:id="21"/>
    </w:p>
    <w:p>
      <w:pPr>
        <w:spacing w:line="360" w:lineRule="auto"/>
        <w:ind w:firstLine="480" w:firstLineChars="200"/>
        <w:rPr>
          <w:rFonts w:ascii="宋体" w:hAnsi="宋体" w:cs="Arial"/>
          <w:kern w:val="0"/>
        </w:rPr>
      </w:pPr>
      <w:r>
        <w:rPr>
          <w:rFonts w:ascii="宋体" w:hAnsi="宋体" w:cs="Arial"/>
          <w:kern w:val="0"/>
        </w:rPr>
        <w:t>依据《中华人民共和国网络安全法》《信息安全等级保护管理办法》的相关要求，对</w:t>
      </w:r>
      <w:r>
        <w:rPr>
          <w:rFonts w:hint="eastAsia" w:ascii="宋体" w:hAnsi="宋体" w:cs="Arial"/>
          <w:kern w:val="0"/>
        </w:rPr>
        <w:t>黄山市投资促进局投资黄山数智化平台</w:t>
      </w:r>
      <w:r>
        <w:rPr>
          <w:rFonts w:ascii="宋体" w:hAnsi="宋体" w:cs="Arial"/>
          <w:kern w:val="0"/>
        </w:rPr>
        <w:t>进行网络安全等级保护测评，包括：安全技术测评，安全管理测评，工具测试，编制系统安全整改方案，编制测评报告等。</w:t>
      </w:r>
    </w:p>
    <w:p>
      <w:pPr>
        <w:pStyle w:val="3"/>
        <w:rPr>
          <w:rFonts w:ascii="宋体" w:hAnsi="宋体"/>
        </w:rPr>
      </w:pPr>
      <w:bookmarkStart w:id="22" w:name="_Toc116304865"/>
      <w:bookmarkStart w:id="23" w:name="_Toc53217152"/>
      <w:r>
        <w:rPr>
          <w:rFonts w:ascii="宋体" w:hAnsi="宋体"/>
        </w:rPr>
        <w:t>项目实施范围</w:t>
      </w:r>
      <w:bookmarkEnd w:id="22"/>
      <w:bookmarkEnd w:id="23"/>
    </w:p>
    <w:p>
      <w:pPr>
        <w:spacing w:afterLines="50" w:line="360" w:lineRule="auto"/>
        <w:rPr>
          <w:rFonts w:ascii="宋体" w:hAnsi="宋体" w:cs="Arial"/>
          <w:kern w:val="0"/>
        </w:rPr>
      </w:pPr>
      <w:r>
        <w:rPr>
          <w:rFonts w:ascii="宋体" w:hAnsi="宋体" w:cs="Arial"/>
          <w:kern w:val="0"/>
        </w:rPr>
        <w:t>本次参</w:t>
      </w:r>
      <w:r>
        <w:rPr>
          <w:rFonts w:hint="eastAsia" w:ascii="宋体" w:hAnsi="宋体" w:cs="Arial"/>
          <w:kern w:val="0"/>
          <w:lang w:eastAsia="zh-CN"/>
        </w:rPr>
        <w:t>与</w:t>
      </w:r>
      <w:r>
        <w:rPr>
          <w:rFonts w:ascii="宋体" w:hAnsi="宋体" w:cs="Arial"/>
          <w:kern w:val="0"/>
        </w:rPr>
        <w:t>网络安全等级保护测评的系统如下：</w:t>
      </w:r>
    </w:p>
    <w:tbl>
      <w:tblPr>
        <w:tblStyle w:val="3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275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216" w:type="dxa"/>
            <w:shd w:val="clear" w:color="000000" w:fill="F2F2F2"/>
          </w:tcPr>
          <w:p>
            <w:pPr>
              <w:jc w:val="center"/>
              <w:rPr>
                <w:rFonts w:ascii="宋体" w:hAnsi="宋体"/>
                <w:b/>
                <w:bCs/>
              </w:rPr>
            </w:pPr>
            <w:r>
              <w:rPr>
                <w:rFonts w:ascii="宋体" w:hAnsi="宋体"/>
                <w:b/>
                <w:bCs/>
              </w:rPr>
              <w:t>序号</w:t>
            </w:r>
          </w:p>
        </w:tc>
        <w:tc>
          <w:tcPr>
            <w:tcW w:w="3885" w:type="dxa"/>
            <w:shd w:val="clear" w:color="000000" w:fill="F2F2F2"/>
          </w:tcPr>
          <w:p>
            <w:pPr>
              <w:jc w:val="center"/>
              <w:rPr>
                <w:rFonts w:ascii="宋体" w:hAnsi="宋体"/>
                <w:b/>
                <w:bCs/>
              </w:rPr>
            </w:pPr>
            <w:r>
              <w:rPr>
                <w:rFonts w:ascii="宋体" w:hAnsi="宋体"/>
                <w:b/>
                <w:bCs/>
              </w:rPr>
              <w:t>待测系统名称</w:t>
            </w:r>
          </w:p>
        </w:tc>
        <w:tc>
          <w:tcPr>
            <w:tcW w:w="2755" w:type="dxa"/>
            <w:shd w:val="clear" w:color="000000" w:fill="F2F2F2"/>
          </w:tcPr>
          <w:p>
            <w:pPr>
              <w:jc w:val="center"/>
              <w:rPr>
                <w:rFonts w:ascii="宋体" w:hAnsi="宋体"/>
                <w:b/>
                <w:bCs/>
              </w:rPr>
            </w:pPr>
            <w:r>
              <w:rPr>
                <w:rFonts w:ascii="宋体" w:hAnsi="宋体"/>
                <w:b/>
                <w:bCs/>
              </w:rPr>
              <w:t>安全保护等级</w:t>
            </w:r>
          </w:p>
        </w:tc>
        <w:tc>
          <w:tcPr>
            <w:tcW w:w="1216" w:type="dxa"/>
            <w:shd w:val="clear" w:color="000000" w:fill="F2F2F2"/>
          </w:tcPr>
          <w:p>
            <w:pPr>
              <w:jc w:val="center"/>
              <w:rPr>
                <w:rFonts w:ascii="宋体" w:hAnsi="宋体"/>
                <w:b/>
                <w:bCs/>
              </w:rPr>
            </w:pPr>
            <w:r>
              <w:rPr>
                <w:rFonts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auto" w:fill="auto"/>
          </w:tcPr>
          <w:p>
            <w:pPr>
              <w:jc w:val="center"/>
              <w:rPr>
                <w:rFonts w:ascii="宋体" w:hAnsi="宋体"/>
              </w:rPr>
            </w:pPr>
            <w:r>
              <w:rPr>
                <w:rFonts w:ascii="宋体" w:hAnsi="宋体"/>
              </w:rPr>
              <w:t>1</w:t>
            </w:r>
          </w:p>
        </w:tc>
        <w:tc>
          <w:tcPr>
            <w:tcW w:w="3885" w:type="dxa"/>
            <w:shd w:val="clear" w:color="auto" w:fill="auto"/>
          </w:tcPr>
          <w:p>
            <w:pPr>
              <w:jc w:val="center"/>
              <w:rPr>
                <w:rFonts w:ascii="宋体" w:hAnsi="宋体"/>
              </w:rPr>
            </w:pPr>
            <w:r>
              <w:rPr>
                <w:rFonts w:hint="eastAsia" w:ascii="宋体" w:hAnsi="宋体"/>
              </w:rPr>
              <w:t>投资黄山数智化平台</w:t>
            </w:r>
          </w:p>
        </w:tc>
        <w:tc>
          <w:tcPr>
            <w:tcW w:w="2755" w:type="dxa"/>
            <w:shd w:val="clear" w:color="auto" w:fill="auto"/>
          </w:tcPr>
          <w:p>
            <w:pPr>
              <w:jc w:val="center"/>
              <w:rPr>
                <w:rFonts w:ascii="宋体" w:hAnsi="宋体"/>
              </w:rPr>
            </w:pPr>
            <w:r>
              <w:rPr>
                <w:rFonts w:hint="eastAsia" w:ascii="宋体" w:hAnsi="宋体"/>
              </w:rPr>
              <w:t>二</w:t>
            </w:r>
            <w:r>
              <w:rPr>
                <w:rFonts w:ascii="宋体" w:hAnsi="宋体"/>
              </w:rPr>
              <w:t>级</w:t>
            </w:r>
          </w:p>
        </w:tc>
        <w:tc>
          <w:tcPr>
            <w:tcW w:w="1216" w:type="dxa"/>
            <w:shd w:val="clear" w:color="auto" w:fill="auto"/>
          </w:tcPr>
          <w:p>
            <w:pPr>
              <w:rPr>
                <w:rFonts w:ascii="宋体" w:hAnsi="宋体"/>
              </w:rPr>
            </w:pPr>
          </w:p>
        </w:tc>
      </w:tr>
    </w:tbl>
    <w:p>
      <w:pPr>
        <w:pStyle w:val="3"/>
        <w:rPr>
          <w:rFonts w:ascii="宋体" w:hAnsi="宋体"/>
        </w:rPr>
      </w:pPr>
      <w:bookmarkStart w:id="24" w:name="_Toc116304866"/>
      <w:bookmarkStart w:id="25" w:name="_Toc53217153"/>
      <w:r>
        <w:rPr>
          <w:rFonts w:ascii="宋体" w:hAnsi="宋体"/>
        </w:rPr>
        <w:t>指导思想和基本准则</w:t>
      </w:r>
      <w:bookmarkEnd w:id="24"/>
      <w:bookmarkEnd w:id="25"/>
      <w:r>
        <w:rPr>
          <w:rFonts w:ascii="宋体" w:hAnsi="宋体"/>
        </w:rPr>
        <w:tab/>
      </w:r>
    </w:p>
    <w:p>
      <w:pPr>
        <w:pStyle w:val="63"/>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根据公安部、国家保密局、国家密码管理局、国信办联合印发的《信息系统安全等级保护管理办法》（公通字〔2007〕43号）、《关于信息系统安全等级保护工作的</w:t>
      </w:r>
      <w:bookmarkStart w:id="67" w:name="_GoBack"/>
      <w:bookmarkEnd w:id="67"/>
      <w:r>
        <w:rPr>
          <w:rFonts w:hint="eastAsia" w:hAnsi="宋体" w:cs="Arial"/>
          <w:color w:val="auto"/>
          <w:kern w:val="2"/>
        </w:rPr>
        <w:t>实施意见》（公通字〔2004〕66号）、《关于开展全国重要信息系统安全等级保护定级工作的通知》（公信安〔2007〕861 号）、公安部《关于开展信息安全等级保护安全建设整改工作的指导意见》（公信安[2009]1429号）等文件精神，结合黄山市投资促进局工作实际，现拟对黄山市投资促进局投资黄山数智化平台实施网络安全等级保护测评，以进一步完善信息系统安全管理体系和技术防护体系，切实提高系统信息安全防护能力。</w:t>
      </w:r>
      <w:r>
        <w:rPr>
          <w:rFonts w:hAnsi="宋体" w:cs="Arial"/>
          <w:color w:val="auto"/>
          <w:kern w:val="2"/>
        </w:rPr>
        <w:t xml:space="preserve"> </w:t>
      </w:r>
    </w:p>
    <w:p>
      <w:pPr>
        <w:pStyle w:val="3"/>
        <w:rPr>
          <w:rFonts w:ascii="宋体" w:hAnsi="宋体"/>
        </w:rPr>
      </w:pPr>
      <w:bookmarkStart w:id="26" w:name="_Toc53217154"/>
      <w:bookmarkStart w:id="27" w:name="_Toc116304867"/>
      <w:r>
        <w:rPr>
          <w:rFonts w:ascii="宋体" w:hAnsi="宋体"/>
        </w:rPr>
        <w:t>等级保护测评主要包括以下几个方面：</w:t>
      </w:r>
      <w:bookmarkEnd w:id="26"/>
      <w:bookmarkEnd w:id="27"/>
    </w:p>
    <w:p>
      <w:pPr>
        <w:pStyle w:val="12"/>
        <w:numPr>
          <w:ilvl w:val="0"/>
          <w:numId w:val="4"/>
        </w:numPr>
        <w:spacing w:line="360" w:lineRule="auto"/>
        <w:ind w:left="0" w:firstLine="482" w:firstLineChars="200"/>
        <w:rPr>
          <w:rFonts w:ascii="宋体" w:hAnsi="宋体"/>
          <w:b/>
          <w:szCs w:val="24"/>
        </w:rPr>
      </w:pPr>
      <w:bookmarkStart w:id="28" w:name="_Toc46177951"/>
      <w:bookmarkStart w:id="29" w:name="_Hlk35596349"/>
      <w:r>
        <w:rPr>
          <w:rFonts w:hint="eastAsia" w:ascii="宋体" w:hAnsi="宋体"/>
          <w:b/>
          <w:szCs w:val="24"/>
        </w:rPr>
        <w:t>等保测评：</w:t>
      </w:r>
      <w:r>
        <w:rPr>
          <w:rFonts w:hint="eastAsia" w:ascii="宋体" w:hAnsi="宋体"/>
          <w:bCs/>
          <w:szCs w:val="24"/>
        </w:rPr>
        <w:t>完成包括安全物理环境、安全计算环境、安全区域边界、安全通信网络、安全管理中心和安全管理机构、安全管理制度、安全管理人员、安全建设管理和安全运维管理方面的测评工作；</w:t>
      </w:r>
      <w:bookmarkEnd w:id="28"/>
    </w:p>
    <w:p>
      <w:pPr>
        <w:pStyle w:val="12"/>
        <w:numPr>
          <w:ilvl w:val="0"/>
          <w:numId w:val="4"/>
        </w:numPr>
        <w:spacing w:line="360" w:lineRule="auto"/>
        <w:ind w:left="0" w:firstLine="482" w:firstLineChars="200"/>
        <w:rPr>
          <w:rFonts w:ascii="宋体" w:hAnsi="宋体"/>
          <w:b/>
          <w:szCs w:val="24"/>
        </w:rPr>
      </w:pPr>
      <w:bookmarkStart w:id="30" w:name="_Toc46177952"/>
      <w:r>
        <w:rPr>
          <w:rFonts w:hint="eastAsia" w:ascii="宋体" w:hAnsi="宋体"/>
          <w:b/>
          <w:szCs w:val="24"/>
        </w:rPr>
        <w:t>工具测试：</w:t>
      </w:r>
      <w:r>
        <w:rPr>
          <w:rFonts w:hint="eastAsia" w:ascii="宋体" w:hAnsi="宋体"/>
          <w:bCs/>
          <w:szCs w:val="24"/>
        </w:rPr>
        <w:t>针对重要信息系统进行漏洞扫描、渗透测试等安全服务工作；</w:t>
      </w:r>
      <w:bookmarkEnd w:id="30"/>
    </w:p>
    <w:p>
      <w:pPr>
        <w:pStyle w:val="12"/>
        <w:numPr>
          <w:ilvl w:val="0"/>
          <w:numId w:val="4"/>
        </w:numPr>
        <w:spacing w:line="360" w:lineRule="auto"/>
        <w:ind w:left="0" w:firstLine="482" w:firstLineChars="200"/>
        <w:rPr>
          <w:rFonts w:ascii="宋体" w:hAnsi="宋体"/>
          <w:b/>
          <w:szCs w:val="24"/>
        </w:rPr>
      </w:pPr>
      <w:bookmarkStart w:id="31" w:name="_Toc46177953"/>
      <w:r>
        <w:rPr>
          <w:rFonts w:hint="eastAsia" w:ascii="宋体" w:hAnsi="宋体"/>
          <w:b/>
          <w:szCs w:val="24"/>
        </w:rPr>
        <w:t>整改建议：</w:t>
      </w:r>
      <w:r>
        <w:rPr>
          <w:rFonts w:hint="eastAsia" w:ascii="宋体" w:hAnsi="宋体"/>
          <w:bCs/>
          <w:szCs w:val="24"/>
        </w:rPr>
        <w:t>投标人应根据现场测评中发现的问题，分析与GB/T 22239-2019、ISO/IEC 27001、ISO/IEC 20000、ISO 22301、ITIL和ITSS等行业最佳实践之间的差距，按照网络安全等级保护标准要求提出安全整改建议；</w:t>
      </w:r>
      <w:bookmarkEnd w:id="31"/>
    </w:p>
    <w:p>
      <w:pPr>
        <w:pStyle w:val="12"/>
        <w:numPr>
          <w:ilvl w:val="0"/>
          <w:numId w:val="4"/>
        </w:numPr>
        <w:spacing w:line="360" w:lineRule="auto"/>
        <w:ind w:left="0" w:firstLine="482" w:firstLineChars="200"/>
        <w:rPr>
          <w:rFonts w:ascii="宋体" w:hAnsi="宋体"/>
          <w:b/>
          <w:szCs w:val="24"/>
        </w:rPr>
      </w:pPr>
      <w:bookmarkStart w:id="32" w:name="_Toc46177954"/>
      <w:r>
        <w:rPr>
          <w:rFonts w:hint="eastAsia" w:ascii="宋体" w:hAnsi="宋体"/>
          <w:b/>
          <w:szCs w:val="24"/>
        </w:rPr>
        <w:t>编制测评报告：</w:t>
      </w:r>
      <w:r>
        <w:rPr>
          <w:rFonts w:hint="eastAsia" w:ascii="宋体" w:hAnsi="宋体"/>
          <w:bCs/>
          <w:szCs w:val="24"/>
        </w:rPr>
        <w:t>完成上述测评工作和整改加固实施后，投标人最后出具符合标准要求的信息系统网络安全等级保护测评报告。</w:t>
      </w:r>
      <w:bookmarkEnd w:id="29"/>
      <w:bookmarkEnd w:id="32"/>
    </w:p>
    <w:p>
      <w:pPr>
        <w:pStyle w:val="3"/>
        <w:rPr>
          <w:rFonts w:ascii="宋体" w:hAnsi="宋体"/>
        </w:rPr>
      </w:pPr>
      <w:bookmarkStart w:id="33" w:name="_Toc53217156"/>
      <w:bookmarkStart w:id="34" w:name="_Toc116304868"/>
      <w:r>
        <w:rPr>
          <w:rFonts w:ascii="宋体" w:hAnsi="宋体"/>
        </w:rPr>
        <w:t>工作要求：</w:t>
      </w:r>
      <w:bookmarkEnd w:id="33"/>
      <w:bookmarkEnd w:id="34"/>
    </w:p>
    <w:p>
      <w:pPr>
        <w:pStyle w:val="52"/>
        <w:numPr>
          <w:ilvl w:val="0"/>
          <w:numId w:val="5"/>
        </w:numPr>
        <w:ind w:firstLineChars="0"/>
        <w:rPr>
          <w:rFonts w:ascii="宋体" w:hAnsi="宋体" w:cs="Arial"/>
          <w:b/>
        </w:rPr>
      </w:pPr>
      <w:bookmarkStart w:id="35" w:name="_Toc53217157"/>
      <w:bookmarkStart w:id="36" w:name="_Toc46177957"/>
      <w:bookmarkStart w:id="37" w:name="_Toc52369337"/>
      <w:r>
        <w:rPr>
          <w:rFonts w:hint="eastAsia" w:ascii="宋体" w:hAnsi="宋体" w:cs="Arial"/>
          <w:b/>
        </w:rPr>
        <w:t>实施原则</w:t>
      </w:r>
      <w:bookmarkEnd w:id="35"/>
      <w:bookmarkEnd w:id="36"/>
      <w:bookmarkEnd w:id="37"/>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规范性原则：成交供应商工作中的过程和文档，具有很好的规范性，可以便于项目的跟踪和控制；</w:t>
      </w:r>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标准性原则：测评方案的设计与实施应依据国家等级保护的相关标准进行。</w:t>
      </w:r>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可控性原则：测评的工具、方法和过程需在双方认可的范围之内并符合进度表的安排，保证采购人对服务工作的可控性；</w:t>
      </w:r>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整体性原则：测评和分析的范围和内容应当整体全面，包括安全涉及的各个层面，避免由于遗漏造成未来的安全隐患；</w:t>
      </w:r>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tabs>
          <w:tab w:val="left" w:pos="720"/>
        </w:tabs>
        <w:adjustRightInd w:val="0"/>
        <w:snapToGrid w:val="0"/>
        <w:spacing w:line="360" w:lineRule="auto"/>
        <w:ind w:firstLine="460" w:firstLineChars="192"/>
        <w:rPr>
          <w:rFonts w:ascii="宋体" w:hAnsi="宋体" w:cs="Arial"/>
          <w:szCs w:val="24"/>
        </w:rPr>
      </w:pPr>
      <w:r>
        <w:rPr>
          <w:rFonts w:ascii="宋体" w:hAnsi="宋体" w:cs="Arial"/>
          <w:szCs w:val="24"/>
        </w:rPr>
        <w:t>保密原则：对测评的过程数据和结果数据严格保密，未经授权不得泄露给任何单位和个人，不得利用此数据进行任何侵害采购人网络的行为，否则采购人有权追究责任。</w:t>
      </w:r>
    </w:p>
    <w:p>
      <w:pPr>
        <w:pStyle w:val="52"/>
        <w:numPr>
          <w:ilvl w:val="0"/>
          <w:numId w:val="5"/>
        </w:numPr>
        <w:ind w:firstLineChars="0"/>
        <w:rPr>
          <w:rFonts w:ascii="宋体" w:hAnsi="宋体" w:cs="Arial"/>
          <w:b/>
        </w:rPr>
      </w:pPr>
      <w:bookmarkStart w:id="38" w:name="_Toc46177958"/>
      <w:bookmarkStart w:id="39" w:name="_Toc52369338"/>
      <w:bookmarkStart w:id="40" w:name="_Toc53217158"/>
      <w:r>
        <w:rPr>
          <w:rFonts w:hint="eastAsia" w:ascii="宋体" w:hAnsi="宋体" w:cs="Arial"/>
          <w:b/>
        </w:rPr>
        <w:t>测评依据</w:t>
      </w:r>
      <w:bookmarkEnd w:id="38"/>
      <w:bookmarkEnd w:id="39"/>
      <w:bookmarkEnd w:id="40"/>
    </w:p>
    <w:p>
      <w:pPr>
        <w:tabs>
          <w:tab w:val="left" w:pos="720"/>
        </w:tabs>
        <w:adjustRightInd w:val="0"/>
        <w:snapToGrid w:val="0"/>
        <w:spacing w:line="360" w:lineRule="auto"/>
        <w:rPr>
          <w:rFonts w:ascii="宋体" w:hAnsi="宋体" w:cs="Arial"/>
          <w:szCs w:val="24"/>
        </w:rPr>
      </w:pPr>
      <w:r>
        <w:rPr>
          <w:rFonts w:ascii="宋体" w:hAnsi="宋体" w:cs="Arial"/>
          <w:szCs w:val="24"/>
        </w:rPr>
        <w:t xml:space="preserve">《信息安全技术 网络安全等级保护基本要求》（GB/T 22239-2019） </w:t>
      </w:r>
    </w:p>
    <w:p>
      <w:pPr>
        <w:tabs>
          <w:tab w:val="left" w:pos="720"/>
        </w:tabs>
        <w:adjustRightInd w:val="0"/>
        <w:snapToGrid w:val="0"/>
        <w:spacing w:line="360" w:lineRule="auto"/>
        <w:rPr>
          <w:rFonts w:ascii="宋体" w:hAnsi="宋体" w:cs="Arial"/>
          <w:szCs w:val="24"/>
        </w:rPr>
      </w:pPr>
      <w:r>
        <w:rPr>
          <w:rFonts w:ascii="宋体" w:hAnsi="宋体" w:cs="Arial"/>
          <w:szCs w:val="24"/>
        </w:rPr>
        <w:t>《信息安全技术 网络安全等级保护定级指南》（GB/T 22240-2020）</w:t>
      </w:r>
    </w:p>
    <w:p>
      <w:pPr>
        <w:tabs>
          <w:tab w:val="left" w:pos="720"/>
        </w:tabs>
        <w:adjustRightInd w:val="0"/>
        <w:snapToGrid w:val="0"/>
        <w:spacing w:line="360" w:lineRule="auto"/>
        <w:rPr>
          <w:rFonts w:ascii="宋体" w:hAnsi="宋体" w:cs="Arial"/>
          <w:szCs w:val="24"/>
        </w:rPr>
      </w:pPr>
      <w:r>
        <w:rPr>
          <w:rFonts w:ascii="宋体" w:hAnsi="宋体" w:cs="Arial"/>
          <w:szCs w:val="24"/>
        </w:rPr>
        <w:t xml:space="preserve">《信息安全技术 网络安全等级保护测评要求》（GB/T 28448-2019） </w:t>
      </w:r>
    </w:p>
    <w:p>
      <w:pPr>
        <w:tabs>
          <w:tab w:val="left" w:pos="720"/>
        </w:tabs>
        <w:adjustRightInd w:val="0"/>
        <w:snapToGrid w:val="0"/>
        <w:spacing w:line="360" w:lineRule="auto"/>
        <w:rPr>
          <w:rFonts w:ascii="宋体" w:hAnsi="宋体" w:cs="Arial"/>
          <w:szCs w:val="24"/>
        </w:rPr>
      </w:pPr>
      <w:r>
        <w:rPr>
          <w:rFonts w:ascii="宋体" w:hAnsi="宋体" w:cs="Arial"/>
          <w:szCs w:val="24"/>
        </w:rPr>
        <w:t>《信息安全技术 网络安全等级保护测评过程指南》（GB∕T 28449-2018）</w:t>
      </w:r>
    </w:p>
    <w:p>
      <w:pPr>
        <w:pStyle w:val="52"/>
        <w:numPr>
          <w:ilvl w:val="0"/>
          <w:numId w:val="5"/>
        </w:numPr>
        <w:ind w:firstLineChars="0"/>
        <w:rPr>
          <w:rFonts w:ascii="宋体" w:hAnsi="宋体" w:cs="Arial"/>
          <w:b/>
        </w:rPr>
      </w:pPr>
      <w:r>
        <w:rPr>
          <w:rFonts w:hint="eastAsia" w:ascii="宋体" w:hAnsi="宋体" w:cs="Arial"/>
          <w:b/>
        </w:rPr>
        <w:t>等级保护测评内容</w:t>
      </w:r>
    </w:p>
    <w:p>
      <w:pPr>
        <w:snapToGrid w:val="0"/>
        <w:spacing w:line="360" w:lineRule="auto"/>
        <w:ind w:firstLine="480" w:firstLineChars="200"/>
        <w:rPr>
          <w:rFonts w:ascii="宋体" w:hAnsi="宋体"/>
          <w:szCs w:val="24"/>
        </w:rPr>
      </w:pPr>
      <w:bookmarkStart w:id="41" w:name="_Toc287704425"/>
      <w:bookmarkStart w:id="42" w:name="_Toc288552020"/>
      <w:bookmarkStart w:id="43" w:name="_Toc288570237"/>
      <w:bookmarkStart w:id="44" w:name="_Toc288574635"/>
      <w:r>
        <w:rPr>
          <w:rFonts w:ascii="宋体" w:hAnsi="宋体"/>
          <w:szCs w:val="24"/>
        </w:rPr>
        <w:t>根据国家等级保护相关标准，本次项目的网络安全等级保护测评应包括以下内容：</w:t>
      </w:r>
    </w:p>
    <w:bookmarkEnd w:id="41"/>
    <w:bookmarkEnd w:id="42"/>
    <w:bookmarkEnd w:id="43"/>
    <w:bookmarkEnd w:id="44"/>
    <w:p>
      <w:pPr>
        <w:pStyle w:val="65"/>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pPr>
        <w:pStyle w:val="65"/>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pPr>
        <w:pStyle w:val="52"/>
        <w:numPr>
          <w:ilvl w:val="0"/>
          <w:numId w:val="6"/>
        </w:numPr>
        <w:ind w:left="0" w:firstLine="482"/>
        <w:rPr>
          <w:rFonts w:ascii="宋体" w:hAnsi="宋体"/>
          <w:b/>
        </w:rPr>
      </w:pPr>
      <w:bookmarkStart w:id="45" w:name="_Toc4424566"/>
      <w:r>
        <w:rPr>
          <w:rFonts w:ascii="宋体" w:hAnsi="宋体"/>
          <w:b/>
        </w:rPr>
        <w:t>安全物理</w:t>
      </w:r>
      <w:bookmarkEnd w:id="45"/>
      <w:r>
        <w:rPr>
          <w:rFonts w:ascii="宋体" w:hAnsi="宋体"/>
          <w:b/>
        </w:rPr>
        <w:t>环境</w:t>
      </w:r>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pStyle w:val="52"/>
        <w:numPr>
          <w:ilvl w:val="0"/>
          <w:numId w:val="6"/>
        </w:numPr>
        <w:ind w:left="0" w:firstLine="482"/>
        <w:rPr>
          <w:rFonts w:ascii="宋体" w:hAnsi="宋体"/>
          <w:b/>
        </w:rPr>
      </w:pPr>
      <w:bookmarkStart w:id="46" w:name="_Toc4424567"/>
      <w:r>
        <w:rPr>
          <w:rFonts w:ascii="宋体" w:hAnsi="宋体"/>
          <w:b/>
        </w:rPr>
        <w:t>安全通信网络</w:t>
      </w:r>
      <w:bookmarkEnd w:id="46"/>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安全通信网络测评是对网络系统安全防护情况进行测评，包括网络架构、通信传输、可信验证等方面的安全状况。</w:t>
      </w:r>
    </w:p>
    <w:p>
      <w:pPr>
        <w:pStyle w:val="52"/>
        <w:numPr>
          <w:ilvl w:val="0"/>
          <w:numId w:val="6"/>
        </w:numPr>
        <w:ind w:left="0" w:firstLine="482"/>
        <w:rPr>
          <w:rFonts w:ascii="宋体" w:hAnsi="宋体"/>
          <w:b/>
        </w:rPr>
      </w:pPr>
      <w:r>
        <w:rPr>
          <w:rFonts w:ascii="宋体" w:hAnsi="宋体"/>
          <w:b/>
        </w:rPr>
        <w:t>安全区域边界</w:t>
      </w:r>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安全区域边界是对边界防护、访问控制、入侵防范、恶意代码防范、安全审计、可信验证等方面的测评。</w:t>
      </w:r>
    </w:p>
    <w:p>
      <w:pPr>
        <w:pStyle w:val="52"/>
        <w:numPr>
          <w:ilvl w:val="0"/>
          <w:numId w:val="6"/>
        </w:numPr>
        <w:ind w:left="0" w:firstLine="482"/>
        <w:rPr>
          <w:rFonts w:ascii="宋体" w:hAnsi="宋体"/>
          <w:b/>
        </w:rPr>
      </w:pPr>
      <w:bookmarkStart w:id="47" w:name="_Toc4424569"/>
      <w:r>
        <w:rPr>
          <w:rFonts w:ascii="宋体" w:hAnsi="宋体"/>
          <w:b/>
        </w:rPr>
        <w:t>安全</w:t>
      </w:r>
      <w:bookmarkEnd w:id="47"/>
      <w:r>
        <w:rPr>
          <w:rFonts w:ascii="宋体" w:hAnsi="宋体"/>
          <w:b/>
        </w:rPr>
        <w:t>计算环境</w:t>
      </w:r>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安全计算环境是对身份鉴别、访问控制、安全审计、入侵防范、恶意代码防范、可信验证、数据完整性、数据保密性、数据备份恢复、剩余信息保护、个人信息保护等方面的测评。</w:t>
      </w:r>
    </w:p>
    <w:p>
      <w:pPr>
        <w:pStyle w:val="52"/>
        <w:numPr>
          <w:ilvl w:val="0"/>
          <w:numId w:val="6"/>
        </w:numPr>
        <w:ind w:left="0" w:firstLine="482"/>
        <w:rPr>
          <w:rFonts w:ascii="宋体" w:hAnsi="宋体"/>
          <w:b/>
        </w:rPr>
      </w:pPr>
      <w:r>
        <w:rPr>
          <w:rFonts w:ascii="宋体" w:hAnsi="宋体"/>
          <w:b/>
        </w:rPr>
        <w:t>安全管理中心</w:t>
      </w:r>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安全管理中心是对系统管理、审计管理、安全管理、集中管控等方面的测评。</w:t>
      </w:r>
    </w:p>
    <w:p>
      <w:pPr>
        <w:pStyle w:val="52"/>
        <w:numPr>
          <w:ilvl w:val="0"/>
          <w:numId w:val="6"/>
        </w:numPr>
        <w:ind w:left="0" w:firstLine="482"/>
        <w:rPr>
          <w:rFonts w:ascii="宋体" w:hAnsi="宋体"/>
          <w:b/>
        </w:rPr>
      </w:pPr>
      <w:bookmarkStart w:id="48" w:name="_Toc4424571"/>
      <w:r>
        <w:rPr>
          <w:rFonts w:ascii="宋体" w:hAnsi="宋体"/>
          <w:b/>
        </w:rPr>
        <w:t>安全管理制度</w:t>
      </w:r>
      <w:bookmarkEnd w:id="48"/>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安全管理制度测评是对安全策略、管理制度、制定和发布、评审和修订进行测评。</w:t>
      </w:r>
    </w:p>
    <w:p>
      <w:pPr>
        <w:pStyle w:val="52"/>
        <w:numPr>
          <w:ilvl w:val="0"/>
          <w:numId w:val="6"/>
        </w:numPr>
        <w:ind w:left="0" w:firstLine="482"/>
        <w:rPr>
          <w:rFonts w:ascii="宋体" w:hAnsi="宋体"/>
          <w:b/>
        </w:rPr>
      </w:pPr>
      <w:bookmarkStart w:id="49" w:name="_Toc4424572"/>
      <w:r>
        <w:rPr>
          <w:rFonts w:ascii="宋体" w:hAnsi="宋体"/>
          <w:b/>
        </w:rPr>
        <w:t>安全管理机构</w:t>
      </w:r>
      <w:bookmarkEnd w:id="49"/>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安全管理机构测评是对岗位设置、人员配备、授权和审批、沟通和合作、审核和检查等情况进行测评。</w:t>
      </w:r>
    </w:p>
    <w:p>
      <w:pPr>
        <w:pStyle w:val="52"/>
        <w:numPr>
          <w:ilvl w:val="0"/>
          <w:numId w:val="6"/>
        </w:numPr>
        <w:ind w:left="0" w:firstLine="482"/>
        <w:rPr>
          <w:rFonts w:ascii="宋体" w:hAnsi="宋体"/>
          <w:b/>
        </w:rPr>
      </w:pPr>
      <w:bookmarkStart w:id="50" w:name="_Toc4424573"/>
      <w:r>
        <w:rPr>
          <w:rFonts w:ascii="宋体" w:hAnsi="宋体"/>
          <w:b/>
        </w:rPr>
        <w:t>安全管理</w:t>
      </w:r>
      <w:bookmarkEnd w:id="50"/>
      <w:r>
        <w:rPr>
          <w:rFonts w:ascii="宋体" w:hAnsi="宋体"/>
          <w:b/>
        </w:rPr>
        <w:t>人员</w:t>
      </w:r>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安全管理人员测评是对人员录用、人员离岗、安全意识教育和培训、外部人员访问管理等情况进行测评。</w:t>
      </w:r>
    </w:p>
    <w:p>
      <w:pPr>
        <w:pStyle w:val="52"/>
        <w:numPr>
          <w:ilvl w:val="0"/>
          <w:numId w:val="6"/>
        </w:numPr>
        <w:ind w:left="0" w:firstLine="482"/>
        <w:rPr>
          <w:rFonts w:ascii="宋体" w:hAnsi="宋体"/>
          <w:b/>
        </w:rPr>
      </w:pPr>
      <w:bookmarkStart w:id="51" w:name="_Toc4424574"/>
      <w:r>
        <w:rPr>
          <w:rFonts w:ascii="宋体" w:hAnsi="宋体"/>
          <w:b/>
        </w:rPr>
        <w:t>安全建设管理</w:t>
      </w:r>
      <w:bookmarkEnd w:id="51"/>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安全建设管理测评是对建设过程中安全方案设计、产品采购和使用、自行软件开发、外包软件开发、 工程实施、测试验收、系统交付、 等级测评、服务供应商选择等情况进行测评。</w:t>
      </w:r>
    </w:p>
    <w:p>
      <w:pPr>
        <w:pStyle w:val="52"/>
        <w:numPr>
          <w:ilvl w:val="0"/>
          <w:numId w:val="6"/>
        </w:numPr>
        <w:ind w:left="0" w:firstLine="482"/>
        <w:rPr>
          <w:rFonts w:ascii="宋体" w:hAnsi="宋体"/>
          <w:b/>
        </w:rPr>
      </w:pPr>
      <w:bookmarkStart w:id="52" w:name="_Toc4424575"/>
      <w:r>
        <w:rPr>
          <w:rFonts w:ascii="宋体" w:hAnsi="宋体"/>
          <w:b/>
        </w:rPr>
        <w:t>安全运维管理</w:t>
      </w:r>
      <w:bookmarkEnd w:id="52"/>
    </w:p>
    <w:p>
      <w:pPr>
        <w:tabs>
          <w:tab w:val="left" w:pos="1080"/>
          <w:tab w:val="left" w:pos="1680"/>
        </w:tabs>
        <w:snapToGrid w:val="0"/>
        <w:spacing w:line="360" w:lineRule="auto"/>
        <w:ind w:firstLine="480" w:firstLineChars="200"/>
        <w:rPr>
          <w:rFonts w:ascii="宋体" w:hAnsi="宋体"/>
          <w:szCs w:val="24"/>
        </w:rPr>
      </w:pPr>
      <w:r>
        <w:rPr>
          <w:rFonts w:ascii="宋体" w:hAnsi="宋体"/>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pStyle w:val="3"/>
        <w:rPr>
          <w:rFonts w:ascii="宋体" w:hAnsi="宋体"/>
        </w:rPr>
      </w:pPr>
      <w:bookmarkStart w:id="53" w:name="_Toc53217159"/>
      <w:bookmarkStart w:id="54" w:name="_Toc116304869"/>
      <w:r>
        <w:rPr>
          <w:rFonts w:ascii="宋体" w:hAnsi="宋体"/>
        </w:rPr>
        <w:t>报价要求</w:t>
      </w:r>
      <w:bookmarkEnd w:id="53"/>
      <w:bookmarkEnd w:id="54"/>
    </w:p>
    <w:p>
      <w:pPr>
        <w:tabs>
          <w:tab w:val="left" w:pos="284"/>
        </w:tabs>
        <w:spacing w:line="360" w:lineRule="auto"/>
        <w:ind w:firstLine="480" w:firstLineChars="200"/>
        <w:jc w:val="left"/>
        <w:rPr>
          <w:rFonts w:ascii="宋体" w:hAnsi="宋体" w:cs="Arial"/>
          <w:szCs w:val="24"/>
        </w:rPr>
      </w:pPr>
      <w:r>
        <w:rPr>
          <w:rFonts w:ascii="宋体" w:hAnsi="宋体" w:cs="Arial"/>
          <w:szCs w:val="24"/>
        </w:rPr>
        <w:t>本项目报总价，报价包含完成本项目服务期间所产生的一切费用，采购人后期不再另行追加费用。</w:t>
      </w:r>
    </w:p>
    <w:p>
      <w:pPr>
        <w:pStyle w:val="3"/>
        <w:rPr>
          <w:rFonts w:ascii="宋体" w:hAnsi="宋体"/>
        </w:rPr>
      </w:pPr>
      <w:bookmarkStart w:id="55" w:name="_Toc116304870"/>
      <w:bookmarkStart w:id="56" w:name="_Toc53217161"/>
      <w:r>
        <w:rPr>
          <w:rFonts w:ascii="宋体" w:hAnsi="宋体"/>
        </w:rPr>
        <w:t>验收标准</w:t>
      </w:r>
      <w:bookmarkEnd w:id="55"/>
      <w:bookmarkEnd w:id="56"/>
    </w:p>
    <w:p>
      <w:pPr>
        <w:pStyle w:val="63"/>
        <w:spacing w:line="360" w:lineRule="auto"/>
        <w:ind w:firstLine="480" w:firstLineChars="200"/>
        <w:rPr>
          <w:rFonts w:hAnsi="宋体"/>
        </w:rPr>
      </w:pPr>
      <w:r>
        <w:rPr>
          <w:rFonts w:hAnsi="宋体"/>
        </w:rPr>
        <w:t>本项目服务的验收将以成交供应商提交《测评报告》并在公安部登记管理系统填报结果为准。</w:t>
      </w:r>
    </w:p>
    <w:p>
      <w:pPr>
        <w:pStyle w:val="2"/>
        <w:spacing w:after="360"/>
      </w:pPr>
      <w:bookmarkStart w:id="57" w:name="_Toc116304871"/>
      <w:r>
        <w:rPr>
          <w:rFonts w:hint="eastAsia"/>
        </w:rPr>
        <w:t>评分细则</w:t>
      </w:r>
      <w:bookmarkEnd w:id="57"/>
    </w:p>
    <w:p>
      <w:pPr>
        <w:rPr>
          <w:rFonts w:ascii="宋体" w:hAnsi="宋体"/>
          <w:szCs w:val="22"/>
        </w:rPr>
      </w:pPr>
      <w:r>
        <w:rPr>
          <w:rFonts w:ascii="宋体" w:hAnsi="宋体"/>
          <w:szCs w:val="22"/>
        </w:rPr>
        <w:t>本项目技术分值占总分值的权重为 40%，资信分值占总分值的权重为 50%， 价格分值占总分值的权重为 10%。具体评分细则如下：</w:t>
      </w:r>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5"/>
        <w:gridCol w:w="595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shd w:val="clear" w:color="auto" w:fill="F2F2F2"/>
            <w:vAlign w:val="center"/>
          </w:tcPr>
          <w:p>
            <w:pPr>
              <w:spacing w:before="120" w:line="400" w:lineRule="atLeast"/>
              <w:jc w:val="center"/>
              <w:rPr>
                <w:rFonts w:ascii="宋体" w:hAnsi="宋体"/>
                <w:b/>
                <w:szCs w:val="24"/>
              </w:rPr>
            </w:pPr>
            <w:r>
              <w:rPr>
                <w:rFonts w:ascii="宋体" w:hAnsi="宋体"/>
                <w:b/>
                <w:szCs w:val="24"/>
              </w:rPr>
              <w:t>类别</w:t>
            </w:r>
          </w:p>
        </w:tc>
        <w:tc>
          <w:tcPr>
            <w:tcW w:w="1415" w:type="dxa"/>
            <w:shd w:val="clear" w:color="auto" w:fill="F2F2F2"/>
            <w:vAlign w:val="center"/>
          </w:tcPr>
          <w:p>
            <w:pPr>
              <w:spacing w:before="120" w:line="400" w:lineRule="atLeast"/>
              <w:jc w:val="center"/>
              <w:rPr>
                <w:rFonts w:ascii="宋体" w:hAnsi="宋体"/>
                <w:b/>
                <w:szCs w:val="24"/>
              </w:rPr>
            </w:pPr>
            <w:r>
              <w:rPr>
                <w:rFonts w:ascii="宋体" w:hAnsi="宋体"/>
                <w:b/>
                <w:szCs w:val="24"/>
              </w:rPr>
              <w:t>评分内容</w:t>
            </w:r>
          </w:p>
        </w:tc>
        <w:tc>
          <w:tcPr>
            <w:tcW w:w="5956" w:type="dxa"/>
            <w:shd w:val="clear" w:color="auto" w:fill="F2F2F2"/>
            <w:vAlign w:val="center"/>
          </w:tcPr>
          <w:p>
            <w:pPr>
              <w:spacing w:before="120" w:line="400" w:lineRule="atLeast"/>
              <w:jc w:val="center"/>
              <w:rPr>
                <w:rFonts w:ascii="宋体" w:hAnsi="宋体"/>
                <w:b/>
                <w:szCs w:val="24"/>
              </w:rPr>
            </w:pPr>
            <w:r>
              <w:rPr>
                <w:rFonts w:ascii="宋体" w:hAnsi="宋体"/>
                <w:b/>
                <w:szCs w:val="24"/>
              </w:rPr>
              <w:t>评分标准</w:t>
            </w:r>
          </w:p>
        </w:tc>
        <w:tc>
          <w:tcPr>
            <w:tcW w:w="997" w:type="dxa"/>
            <w:shd w:val="clear" w:color="auto" w:fill="F2F2F2"/>
            <w:vAlign w:val="center"/>
          </w:tcPr>
          <w:p>
            <w:pPr>
              <w:spacing w:before="120" w:line="400" w:lineRule="atLeast"/>
              <w:jc w:val="center"/>
              <w:rPr>
                <w:rFonts w:ascii="宋体" w:hAnsi="宋体"/>
                <w:b/>
                <w:szCs w:val="24"/>
              </w:rPr>
            </w:pPr>
            <w:r>
              <w:rPr>
                <w:rFonts w:ascii="宋体" w:hAnsi="宋体"/>
                <w:b/>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spacing w:before="120" w:line="400" w:lineRule="atLeast"/>
              <w:jc w:val="center"/>
              <w:rPr>
                <w:rFonts w:ascii="宋体" w:hAnsi="宋体"/>
                <w:szCs w:val="24"/>
              </w:rPr>
            </w:pPr>
            <w:r>
              <w:rPr>
                <w:rFonts w:ascii="宋体" w:hAnsi="宋体"/>
                <w:szCs w:val="24"/>
              </w:rPr>
              <w:t>技术分（40分）</w:t>
            </w:r>
          </w:p>
        </w:tc>
        <w:tc>
          <w:tcPr>
            <w:tcW w:w="1415" w:type="dxa"/>
            <w:vAlign w:val="center"/>
          </w:tcPr>
          <w:p>
            <w:pPr>
              <w:spacing w:before="120" w:line="400" w:lineRule="atLeast"/>
              <w:jc w:val="center"/>
              <w:rPr>
                <w:rFonts w:ascii="宋体" w:hAnsi="宋体"/>
                <w:szCs w:val="24"/>
              </w:rPr>
            </w:pPr>
            <w:r>
              <w:rPr>
                <w:rFonts w:ascii="宋体" w:hAnsi="宋体"/>
                <w:szCs w:val="24"/>
              </w:rPr>
              <w:t>服务方案</w:t>
            </w:r>
          </w:p>
        </w:tc>
        <w:tc>
          <w:tcPr>
            <w:tcW w:w="5956" w:type="dxa"/>
            <w:vAlign w:val="center"/>
          </w:tcPr>
          <w:p>
            <w:pPr>
              <w:spacing w:before="120" w:line="400" w:lineRule="atLeast"/>
              <w:rPr>
                <w:rFonts w:ascii="宋体" w:hAnsi="宋体"/>
                <w:szCs w:val="24"/>
              </w:rPr>
            </w:pPr>
            <w:r>
              <w:rPr>
                <w:rFonts w:ascii="宋体" w:hAnsi="宋体"/>
                <w:szCs w:val="24"/>
              </w:rPr>
              <w:t>1、服务方案工作范围清晰，具有完整的测评服务方案、项目实施计划、测评方法、风险说明及风险规避处置措施，测评内容可行性合理。评委对各家服务方案进行横向比较：</w:t>
            </w:r>
          </w:p>
          <w:p>
            <w:pPr>
              <w:spacing w:before="120" w:line="400" w:lineRule="atLeast"/>
              <w:rPr>
                <w:rFonts w:ascii="宋体" w:hAnsi="宋体"/>
                <w:szCs w:val="24"/>
              </w:rPr>
            </w:pPr>
            <w:r>
              <w:rPr>
                <w:rFonts w:ascii="宋体" w:hAnsi="宋体"/>
                <w:szCs w:val="24"/>
              </w:rPr>
              <w:t>方案全面、合理、准确，完全符合</w:t>
            </w:r>
            <w:r>
              <w:rPr>
                <w:rFonts w:ascii="宋体" w:hAnsi="宋体" w:cs="仿宋"/>
                <w:szCs w:val="24"/>
              </w:rPr>
              <w:t>竞争性磋商</w:t>
            </w:r>
            <w:r>
              <w:rPr>
                <w:rFonts w:ascii="宋体" w:hAnsi="宋体"/>
                <w:szCs w:val="24"/>
              </w:rPr>
              <w:t>文件要求，得13-18分；较合理、准确，基本符合</w:t>
            </w:r>
            <w:r>
              <w:rPr>
                <w:rFonts w:ascii="宋体" w:hAnsi="宋体" w:cs="仿宋"/>
                <w:szCs w:val="24"/>
              </w:rPr>
              <w:t>竞争性磋商</w:t>
            </w:r>
            <w:r>
              <w:rPr>
                <w:rFonts w:ascii="宋体" w:hAnsi="宋体"/>
                <w:szCs w:val="24"/>
              </w:rPr>
              <w:t>文件要求，得7-12分；基本合理、准确，部分符合</w:t>
            </w:r>
            <w:r>
              <w:rPr>
                <w:rFonts w:ascii="宋体" w:hAnsi="宋体" w:cs="仿宋"/>
                <w:szCs w:val="24"/>
              </w:rPr>
              <w:t>竞争性磋商</w:t>
            </w:r>
            <w:r>
              <w:rPr>
                <w:rFonts w:ascii="宋体" w:hAnsi="宋体"/>
                <w:szCs w:val="24"/>
              </w:rPr>
              <w:t>文件要求，得1-6分；差或未提供不得分。</w:t>
            </w:r>
          </w:p>
          <w:p>
            <w:pPr>
              <w:spacing w:before="120" w:line="400" w:lineRule="atLeast"/>
              <w:rPr>
                <w:rFonts w:ascii="宋体" w:hAnsi="宋体"/>
                <w:szCs w:val="24"/>
              </w:rPr>
            </w:pPr>
            <w:r>
              <w:rPr>
                <w:rFonts w:ascii="宋体" w:hAnsi="宋体"/>
                <w:szCs w:val="24"/>
              </w:rPr>
              <w:t>2、项目管理方案：工作范围清晰，具有完整的项目管理方法论和内容。评委对各家项目管理方案进行横向比较：</w:t>
            </w:r>
          </w:p>
          <w:p>
            <w:pPr>
              <w:spacing w:before="120" w:line="400" w:lineRule="atLeast"/>
              <w:rPr>
                <w:rFonts w:ascii="宋体" w:hAnsi="宋体"/>
                <w:szCs w:val="24"/>
              </w:rPr>
            </w:pPr>
            <w:r>
              <w:rPr>
                <w:rFonts w:ascii="宋体" w:hAnsi="宋体"/>
                <w:szCs w:val="24"/>
              </w:rPr>
              <w:t>方案全面、合理、准确，完全符合</w:t>
            </w:r>
            <w:r>
              <w:rPr>
                <w:rFonts w:ascii="宋体" w:hAnsi="宋体" w:cs="仿宋"/>
                <w:szCs w:val="24"/>
              </w:rPr>
              <w:t>竞争性磋商</w:t>
            </w:r>
            <w:r>
              <w:rPr>
                <w:rFonts w:ascii="宋体" w:hAnsi="宋体"/>
                <w:szCs w:val="24"/>
              </w:rPr>
              <w:t>文件要求，得5-7分；较合理、准确，基本符合</w:t>
            </w:r>
            <w:r>
              <w:rPr>
                <w:rFonts w:ascii="宋体" w:hAnsi="宋体" w:cs="仿宋"/>
                <w:szCs w:val="24"/>
              </w:rPr>
              <w:t>竞争性磋商</w:t>
            </w:r>
            <w:r>
              <w:rPr>
                <w:rFonts w:ascii="宋体" w:hAnsi="宋体"/>
                <w:szCs w:val="24"/>
              </w:rPr>
              <w:t>文件要求，得2-4分；基本合理、准确，部分符合</w:t>
            </w:r>
            <w:r>
              <w:rPr>
                <w:rFonts w:ascii="宋体" w:hAnsi="宋体" w:cs="仿宋"/>
                <w:szCs w:val="24"/>
              </w:rPr>
              <w:t>竞争性磋商</w:t>
            </w:r>
            <w:r>
              <w:rPr>
                <w:rFonts w:ascii="宋体" w:hAnsi="宋体"/>
                <w:szCs w:val="24"/>
              </w:rPr>
              <w:t>文件要求，得0-1分；差或未提供不得分。</w:t>
            </w:r>
          </w:p>
        </w:tc>
        <w:tc>
          <w:tcPr>
            <w:tcW w:w="997" w:type="dxa"/>
            <w:vAlign w:val="center"/>
          </w:tcPr>
          <w:p>
            <w:pPr>
              <w:spacing w:before="120" w:line="400" w:lineRule="atLeast"/>
              <w:jc w:val="center"/>
              <w:rPr>
                <w:rFonts w:ascii="宋体" w:hAnsi="宋体"/>
                <w:szCs w:val="24"/>
              </w:rPr>
            </w:pPr>
            <w:r>
              <w:rPr>
                <w:rFonts w:ascii="宋体" w:hAnsi="宋体"/>
                <w:szCs w:val="24"/>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spacing w:before="120" w:line="400" w:lineRule="atLeast"/>
              <w:jc w:val="center"/>
              <w:rPr>
                <w:rFonts w:ascii="宋体" w:hAnsi="宋体"/>
                <w:szCs w:val="24"/>
              </w:rPr>
            </w:pPr>
          </w:p>
        </w:tc>
        <w:tc>
          <w:tcPr>
            <w:tcW w:w="1415" w:type="dxa"/>
            <w:vAlign w:val="center"/>
          </w:tcPr>
          <w:p>
            <w:pPr>
              <w:spacing w:before="120" w:line="400" w:lineRule="atLeast"/>
              <w:jc w:val="center"/>
              <w:rPr>
                <w:rFonts w:ascii="宋体" w:hAnsi="宋体"/>
                <w:szCs w:val="24"/>
              </w:rPr>
            </w:pPr>
            <w:r>
              <w:rPr>
                <w:rFonts w:ascii="宋体" w:hAnsi="宋体"/>
                <w:szCs w:val="24"/>
              </w:rPr>
              <w:t>项目人员</w:t>
            </w:r>
          </w:p>
        </w:tc>
        <w:tc>
          <w:tcPr>
            <w:tcW w:w="5956" w:type="dxa"/>
            <w:vAlign w:val="center"/>
          </w:tcPr>
          <w:p>
            <w:pPr>
              <w:spacing w:before="120" w:line="400" w:lineRule="atLeast"/>
              <w:rPr>
                <w:rFonts w:ascii="宋体" w:hAnsi="宋体"/>
                <w:szCs w:val="24"/>
              </w:rPr>
            </w:pPr>
            <w:r>
              <w:rPr>
                <w:rFonts w:ascii="宋体" w:hAnsi="宋体"/>
                <w:szCs w:val="24"/>
              </w:rPr>
              <w:t>投标人针对本项目需求拟配备的项目团队应设置质量经理、项目经理等，具体评审指标如下：</w:t>
            </w:r>
          </w:p>
          <w:p>
            <w:pPr>
              <w:spacing w:before="120" w:line="400" w:lineRule="atLeast"/>
              <w:rPr>
                <w:rFonts w:ascii="宋体" w:hAnsi="宋体"/>
                <w:b/>
                <w:szCs w:val="24"/>
              </w:rPr>
            </w:pPr>
            <w:r>
              <w:rPr>
                <w:rFonts w:ascii="宋体" w:hAnsi="宋体"/>
                <w:szCs w:val="24"/>
              </w:rPr>
              <w:t>1、</w:t>
            </w:r>
            <w:r>
              <w:rPr>
                <w:rFonts w:ascii="宋体" w:hAnsi="宋体"/>
                <w:b/>
                <w:szCs w:val="24"/>
              </w:rPr>
              <w:t>质量经理（1人，本小项满分5分）：</w:t>
            </w:r>
          </w:p>
          <w:p>
            <w:pPr>
              <w:numPr>
                <w:ilvl w:val="0"/>
                <w:numId w:val="7"/>
              </w:numPr>
              <w:autoSpaceDE w:val="0"/>
              <w:autoSpaceDN w:val="0"/>
              <w:spacing w:before="120" w:line="400" w:lineRule="atLeast"/>
              <w:jc w:val="left"/>
              <w:rPr>
                <w:rFonts w:ascii="宋体" w:hAnsi="宋体"/>
                <w:szCs w:val="24"/>
              </w:rPr>
            </w:pPr>
            <w:r>
              <w:rPr>
                <w:rFonts w:ascii="宋体" w:hAnsi="宋体"/>
                <w:szCs w:val="24"/>
              </w:rPr>
              <w:t>具有中级（含）以上等级测评师证书，得1分；</w:t>
            </w:r>
          </w:p>
          <w:p>
            <w:pPr>
              <w:numPr>
                <w:ilvl w:val="0"/>
                <w:numId w:val="7"/>
              </w:numPr>
              <w:autoSpaceDE w:val="0"/>
              <w:autoSpaceDN w:val="0"/>
              <w:spacing w:before="120" w:line="400" w:lineRule="atLeast"/>
              <w:jc w:val="left"/>
              <w:rPr>
                <w:rFonts w:ascii="宋体" w:hAnsi="宋体"/>
                <w:szCs w:val="24"/>
              </w:rPr>
            </w:pPr>
            <w:r>
              <w:rPr>
                <w:rFonts w:ascii="宋体" w:hAnsi="宋体"/>
                <w:szCs w:val="24"/>
              </w:rPr>
              <w:t>具有注册信息安全专业人员（CISP）证书，得2分；</w:t>
            </w:r>
          </w:p>
          <w:p>
            <w:pPr>
              <w:numPr>
                <w:ilvl w:val="0"/>
                <w:numId w:val="7"/>
              </w:numPr>
              <w:autoSpaceDE w:val="0"/>
              <w:autoSpaceDN w:val="0"/>
              <w:spacing w:before="120" w:line="400" w:lineRule="atLeast"/>
              <w:jc w:val="left"/>
              <w:rPr>
                <w:rFonts w:ascii="宋体" w:hAnsi="宋体"/>
                <w:szCs w:val="24"/>
              </w:rPr>
            </w:pPr>
            <w:r>
              <w:rPr>
                <w:rFonts w:ascii="宋体" w:hAnsi="宋体"/>
                <w:szCs w:val="24"/>
              </w:rPr>
              <w:t>具有重要信息系统保护人员（证书类别：CIIP-T）证书，得2分。</w:t>
            </w:r>
          </w:p>
          <w:p>
            <w:pPr>
              <w:spacing w:before="120" w:line="400" w:lineRule="atLeast"/>
              <w:rPr>
                <w:rFonts w:ascii="宋体" w:hAnsi="宋体"/>
                <w:b/>
                <w:szCs w:val="24"/>
              </w:rPr>
            </w:pPr>
            <w:r>
              <w:rPr>
                <w:rFonts w:ascii="宋体" w:hAnsi="宋体"/>
                <w:szCs w:val="24"/>
              </w:rPr>
              <w:t>2、</w:t>
            </w:r>
            <w:r>
              <w:rPr>
                <w:rFonts w:ascii="宋体" w:hAnsi="宋体"/>
                <w:b/>
                <w:szCs w:val="24"/>
              </w:rPr>
              <w:t>项目经理（1人，本小项满分5分）：</w:t>
            </w:r>
          </w:p>
          <w:p>
            <w:pPr>
              <w:numPr>
                <w:ilvl w:val="0"/>
                <w:numId w:val="8"/>
              </w:numPr>
              <w:autoSpaceDE w:val="0"/>
              <w:autoSpaceDN w:val="0"/>
              <w:spacing w:before="120" w:line="400" w:lineRule="atLeast"/>
              <w:jc w:val="left"/>
              <w:rPr>
                <w:rFonts w:ascii="宋体" w:hAnsi="宋体"/>
                <w:szCs w:val="24"/>
              </w:rPr>
            </w:pPr>
            <w:r>
              <w:rPr>
                <w:rFonts w:ascii="宋体" w:hAnsi="宋体"/>
                <w:szCs w:val="24"/>
              </w:rPr>
              <w:t>具有高级测评师证书，得1分；</w:t>
            </w:r>
          </w:p>
          <w:p>
            <w:pPr>
              <w:numPr>
                <w:ilvl w:val="0"/>
                <w:numId w:val="8"/>
              </w:numPr>
              <w:autoSpaceDE w:val="0"/>
              <w:autoSpaceDN w:val="0"/>
              <w:spacing w:before="120" w:line="400" w:lineRule="atLeast"/>
              <w:jc w:val="left"/>
              <w:rPr>
                <w:rFonts w:ascii="宋体" w:hAnsi="宋体"/>
                <w:szCs w:val="24"/>
              </w:rPr>
            </w:pPr>
            <w:r>
              <w:rPr>
                <w:rFonts w:ascii="宋体" w:hAnsi="宋体"/>
                <w:szCs w:val="24"/>
              </w:rPr>
              <w:t>具有注册信息安全认证讲师（CISI）证书，得2分；</w:t>
            </w:r>
          </w:p>
          <w:p>
            <w:pPr>
              <w:pStyle w:val="52"/>
              <w:numPr>
                <w:ilvl w:val="0"/>
                <w:numId w:val="8"/>
              </w:numPr>
              <w:spacing w:before="0" w:after="0" w:line="240" w:lineRule="auto"/>
              <w:ind w:firstLineChars="0"/>
              <w:rPr>
                <w:rFonts w:ascii="宋体" w:hAnsi="宋体" w:cs="Times New Roman"/>
              </w:rPr>
            </w:pPr>
            <w:r>
              <w:rPr>
                <w:rFonts w:ascii="宋体" w:hAnsi="宋体" w:cs="Times New Roman"/>
              </w:rPr>
              <w:t>具有信息安全保障人员认证（CISAW）证书，且认证方向为风险管理和安全运维方向的</w:t>
            </w:r>
            <w:r>
              <w:rPr>
                <w:rFonts w:ascii="宋体" w:hAnsi="宋体"/>
              </w:rPr>
              <w:t>，得2分。</w:t>
            </w:r>
          </w:p>
          <w:p>
            <w:pPr>
              <w:spacing w:before="120" w:line="400" w:lineRule="atLeast"/>
              <w:rPr>
                <w:rFonts w:ascii="宋体" w:hAnsi="宋体"/>
                <w:b/>
                <w:bCs/>
                <w:szCs w:val="24"/>
              </w:rPr>
            </w:pPr>
            <w:r>
              <w:rPr>
                <w:rFonts w:ascii="宋体" w:hAnsi="宋体"/>
                <w:szCs w:val="24"/>
              </w:rPr>
              <w:t>3、</w:t>
            </w:r>
            <w:r>
              <w:rPr>
                <w:rFonts w:ascii="宋体" w:hAnsi="宋体"/>
                <w:b/>
                <w:bCs/>
                <w:szCs w:val="24"/>
              </w:rPr>
              <w:t>团队成员</w:t>
            </w:r>
            <w:r>
              <w:rPr>
                <w:rFonts w:ascii="宋体" w:hAnsi="宋体"/>
                <w:b/>
                <w:szCs w:val="24"/>
              </w:rPr>
              <w:t>（最少2人，本小项满分5分）</w:t>
            </w:r>
            <w:r>
              <w:rPr>
                <w:rFonts w:ascii="宋体" w:hAnsi="宋体"/>
                <w:b/>
                <w:bCs/>
                <w:szCs w:val="24"/>
              </w:rPr>
              <w:t>：</w:t>
            </w:r>
          </w:p>
          <w:p>
            <w:pPr>
              <w:spacing w:before="120" w:line="400" w:lineRule="atLeast"/>
              <w:rPr>
                <w:rFonts w:ascii="宋体" w:hAnsi="宋体"/>
                <w:szCs w:val="24"/>
              </w:rPr>
            </w:pPr>
            <w:r>
              <w:rPr>
                <w:rFonts w:ascii="宋体" w:hAnsi="宋体"/>
                <w:szCs w:val="24"/>
              </w:rPr>
              <w:t>项目组其他成员（不包括质量经理、项目经理）全部具有初级（含）以上等级测评师证书，满足得3分，否则本小项不得分；在满足上述条件基础上，每提供1名具有CISP证书或CCSC证书或CISAW证书，得1分。</w:t>
            </w:r>
          </w:p>
          <w:p>
            <w:pPr>
              <w:spacing w:before="120" w:line="400" w:lineRule="atLeast"/>
              <w:rPr>
                <w:rFonts w:ascii="宋体" w:hAnsi="宋体"/>
                <w:szCs w:val="24"/>
              </w:rPr>
            </w:pPr>
            <w:r>
              <w:rPr>
                <w:rFonts w:ascii="宋体" w:hAnsi="宋体"/>
                <w:szCs w:val="24"/>
              </w:rPr>
              <w:t>注：以上证书须提供证书扫描件或复印件，且提供持证人员近三个月在投标单位的社保证明。</w:t>
            </w:r>
          </w:p>
        </w:tc>
        <w:tc>
          <w:tcPr>
            <w:tcW w:w="997" w:type="dxa"/>
            <w:vAlign w:val="center"/>
          </w:tcPr>
          <w:p>
            <w:pPr>
              <w:spacing w:before="120" w:line="400" w:lineRule="atLeast"/>
              <w:jc w:val="center"/>
              <w:rPr>
                <w:rFonts w:ascii="宋体" w:hAnsi="宋体"/>
                <w:szCs w:val="24"/>
              </w:rPr>
            </w:pPr>
            <w:r>
              <w:rPr>
                <w:rFonts w:ascii="宋体" w:hAnsi="宋体"/>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spacing w:before="120" w:line="400" w:lineRule="atLeast"/>
              <w:jc w:val="center"/>
              <w:rPr>
                <w:rFonts w:ascii="宋体" w:hAnsi="宋体"/>
                <w:szCs w:val="24"/>
              </w:rPr>
            </w:pPr>
            <w:r>
              <w:rPr>
                <w:rFonts w:ascii="宋体" w:hAnsi="宋体"/>
                <w:szCs w:val="24"/>
              </w:rPr>
              <w:t>资信分（50分）</w:t>
            </w:r>
          </w:p>
        </w:tc>
        <w:tc>
          <w:tcPr>
            <w:tcW w:w="1415" w:type="dxa"/>
            <w:vAlign w:val="center"/>
          </w:tcPr>
          <w:p>
            <w:pPr>
              <w:spacing w:before="120" w:line="400" w:lineRule="atLeast"/>
              <w:jc w:val="center"/>
              <w:rPr>
                <w:rFonts w:ascii="宋体" w:hAnsi="宋体"/>
                <w:szCs w:val="24"/>
              </w:rPr>
            </w:pPr>
            <w:r>
              <w:rPr>
                <w:rFonts w:ascii="宋体" w:hAnsi="宋体"/>
                <w:szCs w:val="24"/>
              </w:rPr>
              <w:t>投标人业绩</w:t>
            </w:r>
          </w:p>
        </w:tc>
        <w:tc>
          <w:tcPr>
            <w:tcW w:w="5956" w:type="dxa"/>
            <w:vAlign w:val="center"/>
          </w:tcPr>
          <w:p>
            <w:pPr>
              <w:spacing w:before="120" w:line="400" w:lineRule="atLeast"/>
              <w:rPr>
                <w:rFonts w:ascii="宋体" w:hAnsi="宋体"/>
                <w:szCs w:val="24"/>
              </w:rPr>
            </w:pPr>
            <w:r>
              <w:rPr>
                <w:rFonts w:ascii="宋体" w:hAnsi="宋体"/>
                <w:szCs w:val="24"/>
              </w:rPr>
              <w:t>投标人提供自2020年01月01日以来等保测评服务业绩合同（以合同签订日期为准）：每提供一个得3分；最高得15分。</w:t>
            </w:r>
          </w:p>
          <w:p>
            <w:pPr>
              <w:spacing w:before="120" w:line="400" w:lineRule="atLeast"/>
              <w:rPr>
                <w:rFonts w:ascii="宋体" w:hAnsi="宋体"/>
                <w:szCs w:val="24"/>
              </w:rPr>
            </w:pPr>
            <w:r>
              <w:rPr>
                <w:rFonts w:ascii="宋体" w:hAnsi="宋体"/>
                <w:szCs w:val="24"/>
              </w:rPr>
              <w:t>注：投标文件中须提供业绩合同的扫描件/复印件,合同扫描件至少提供封面、服务内容和签字盖章页。</w:t>
            </w:r>
          </w:p>
        </w:tc>
        <w:tc>
          <w:tcPr>
            <w:tcW w:w="997" w:type="dxa"/>
            <w:vAlign w:val="center"/>
          </w:tcPr>
          <w:p>
            <w:pPr>
              <w:spacing w:before="120" w:line="400" w:lineRule="atLeast"/>
              <w:jc w:val="center"/>
              <w:rPr>
                <w:rFonts w:ascii="宋体" w:hAnsi="宋体"/>
                <w:szCs w:val="24"/>
              </w:rPr>
            </w:pPr>
            <w:r>
              <w:rPr>
                <w:rFonts w:ascii="宋体" w:hAnsi="宋体"/>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spacing w:before="120" w:line="400" w:lineRule="atLeast"/>
              <w:jc w:val="center"/>
              <w:rPr>
                <w:rFonts w:ascii="宋体" w:hAnsi="宋体"/>
                <w:szCs w:val="24"/>
              </w:rPr>
            </w:pPr>
          </w:p>
        </w:tc>
        <w:tc>
          <w:tcPr>
            <w:tcW w:w="1415" w:type="dxa"/>
            <w:vAlign w:val="center"/>
          </w:tcPr>
          <w:p>
            <w:pPr>
              <w:spacing w:before="120" w:line="400" w:lineRule="atLeast"/>
              <w:jc w:val="center"/>
              <w:rPr>
                <w:rFonts w:ascii="宋体" w:hAnsi="宋体"/>
                <w:szCs w:val="24"/>
              </w:rPr>
            </w:pPr>
            <w:r>
              <w:rPr>
                <w:rFonts w:ascii="宋体" w:hAnsi="宋体"/>
                <w:szCs w:val="24"/>
              </w:rPr>
              <w:t>投标人实力</w:t>
            </w:r>
          </w:p>
        </w:tc>
        <w:tc>
          <w:tcPr>
            <w:tcW w:w="5956" w:type="dxa"/>
            <w:vAlign w:val="center"/>
          </w:tcPr>
          <w:p>
            <w:pPr>
              <w:spacing w:before="120" w:line="400" w:lineRule="atLeast"/>
              <w:rPr>
                <w:rFonts w:ascii="宋体" w:hAnsi="宋体"/>
                <w:szCs w:val="24"/>
              </w:rPr>
            </w:pPr>
            <w:r>
              <w:rPr>
                <w:rFonts w:ascii="宋体" w:hAnsi="宋体"/>
                <w:szCs w:val="24"/>
              </w:rPr>
              <w:t>1、投标人具有ISO9001质量管理体系认证证书、ISO/IEC 27001信息安全管理体系认证证书、ISO/IEC20000信息技术服务管理体系认证证书、ISO/IEC27701隐私信息管理体系认证证书</w:t>
            </w:r>
            <w:r>
              <w:rPr>
                <w:rFonts w:hint="eastAsia" w:ascii="宋体" w:hAnsi="宋体"/>
                <w:szCs w:val="24"/>
              </w:rPr>
              <w:t>的</w:t>
            </w:r>
            <w:r>
              <w:rPr>
                <w:rFonts w:ascii="宋体" w:hAnsi="宋体"/>
                <w:szCs w:val="24"/>
              </w:rPr>
              <w:t>，每提供一个证书得1分，提供2个证书得2分，提供3个证书</w:t>
            </w:r>
            <w:r>
              <w:rPr>
                <w:rFonts w:hint="eastAsia" w:ascii="宋体" w:hAnsi="宋体"/>
                <w:szCs w:val="24"/>
              </w:rPr>
              <w:t>得3分，</w:t>
            </w:r>
            <w:r>
              <w:rPr>
                <w:rFonts w:ascii="宋体" w:hAnsi="宋体"/>
                <w:szCs w:val="24"/>
              </w:rPr>
              <w:t>提供4个证书得5分。</w:t>
            </w:r>
          </w:p>
          <w:p>
            <w:pPr>
              <w:spacing w:before="120" w:line="400" w:lineRule="atLeast"/>
              <w:rPr>
                <w:rFonts w:ascii="宋体" w:hAnsi="宋体"/>
                <w:szCs w:val="24"/>
              </w:rPr>
            </w:pPr>
            <w:r>
              <w:rPr>
                <w:rFonts w:ascii="宋体" w:hAnsi="宋体"/>
                <w:szCs w:val="24"/>
              </w:rPr>
              <w:t>2、投标人具有</w:t>
            </w:r>
            <w:r>
              <w:rPr>
                <w:rFonts w:hint="eastAsia" w:ascii="宋体" w:hAnsi="宋体"/>
                <w:szCs w:val="24"/>
              </w:rPr>
              <w:t>数据安全服务能力评定资格证书（二级）</w:t>
            </w:r>
            <w:r>
              <w:rPr>
                <w:rFonts w:ascii="宋体" w:hAnsi="宋体"/>
                <w:szCs w:val="24"/>
              </w:rPr>
              <w:t>的，得5分。</w:t>
            </w:r>
          </w:p>
          <w:p>
            <w:pPr>
              <w:spacing w:before="120" w:line="400" w:lineRule="atLeast"/>
              <w:rPr>
                <w:rFonts w:ascii="宋体" w:hAnsi="宋体"/>
                <w:szCs w:val="24"/>
              </w:rPr>
            </w:pPr>
            <w:r>
              <w:rPr>
                <w:rFonts w:ascii="宋体" w:hAnsi="宋体"/>
                <w:szCs w:val="24"/>
              </w:rPr>
              <w:t>3、投标人具有检验检测机构资质认定证书（CMA）证书且检验检测的能力范围包括网络安全等级保护测评、信息安全风险评估的，得5分。</w:t>
            </w:r>
          </w:p>
          <w:p>
            <w:pPr>
              <w:spacing w:before="120" w:line="400" w:lineRule="atLeast"/>
              <w:rPr>
                <w:rFonts w:ascii="宋体" w:hAnsi="宋体"/>
                <w:szCs w:val="24"/>
              </w:rPr>
            </w:pPr>
            <w:r>
              <w:rPr>
                <w:rFonts w:ascii="宋体" w:hAnsi="宋体"/>
                <w:szCs w:val="24"/>
              </w:rPr>
              <w:t>4、投标人具有信息技术服务标准符合性证书（ITSS）的，得5分。</w:t>
            </w:r>
          </w:p>
          <w:p>
            <w:pPr>
              <w:spacing w:before="120" w:line="400" w:lineRule="atLeast"/>
              <w:rPr>
                <w:rFonts w:ascii="宋体" w:hAnsi="宋体"/>
                <w:szCs w:val="24"/>
              </w:rPr>
            </w:pPr>
            <w:r>
              <w:rPr>
                <w:rFonts w:ascii="宋体" w:hAnsi="宋体"/>
                <w:szCs w:val="24"/>
              </w:rPr>
              <w:t>5、投标人具有国家互联网应急中心颁发的“网络安全能力认证”培训机构（CCSC）证书的，得5分。</w:t>
            </w:r>
          </w:p>
          <w:p>
            <w:pPr>
              <w:spacing w:before="120" w:line="400" w:lineRule="atLeast"/>
              <w:rPr>
                <w:rFonts w:ascii="宋体" w:hAnsi="宋体"/>
                <w:szCs w:val="24"/>
              </w:rPr>
            </w:pPr>
            <w:r>
              <w:rPr>
                <w:rFonts w:ascii="宋体" w:hAnsi="宋体"/>
                <w:szCs w:val="24"/>
              </w:rPr>
              <w:t>6、投标人具有自主研发的网络安全等级保护助手软件、智能测评服务软件、网络流量分析工具、网络安全漏洞扫描工具和关键信息基础设施安全检查工具的，得5分。</w:t>
            </w:r>
          </w:p>
          <w:p>
            <w:pPr>
              <w:spacing w:before="120" w:line="400" w:lineRule="atLeast"/>
              <w:rPr>
                <w:rFonts w:ascii="宋体" w:hAnsi="宋体"/>
                <w:szCs w:val="24"/>
              </w:rPr>
            </w:pPr>
            <w:r>
              <w:rPr>
                <w:rFonts w:ascii="宋体" w:hAnsi="宋体"/>
                <w:szCs w:val="24"/>
              </w:rPr>
              <w:t>7、投标人具有中国网络安全审查技术与认证中心颁发的信息系统安全运维服务资质、信息安全应急处理服务资质和网络安全审计服务资质的，提供1个证书得1分，提供2个证书得2分，提供3个证书得5分。</w:t>
            </w:r>
          </w:p>
          <w:p>
            <w:pPr>
              <w:spacing w:before="120" w:line="400" w:lineRule="atLeast"/>
              <w:rPr>
                <w:rFonts w:ascii="宋体" w:hAnsi="宋体"/>
                <w:szCs w:val="24"/>
              </w:rPr>
            </w:pPr>
            <w:r>
              <w:rPr>
                <w:rFonts w:ascii="宋体" w:hAnsi="宋体"/>
                <w:szCs w:val="24"/>
              </w:rPr>
              <w:t>注：以上证书须提供证书扫描件或复印件。</w:t>
            </w:r>
            <w:r>
              <w:rPr>
                <w:rFonts w:hint="eastAsia" w:ascii="宋体" w:hAnsi="宋体"/>
                <w:szCs w:val="24"/>
              </w:rPr>
              <w:t>第</w:t>
            </w:r>
            <w:r>
              <w:rPr>
                <w:rFonts w:ascii="宋体" w:hAnsi="宋体"/>
                <w:szCs w:val="24"/>
              </w:rPr>
              <w:t>6条须提供自主研发工具的软著登记证书扫描件或复印件。</w:t>
            </w:r>
          </w:p>
        </w:tc>
        <w:tc>
          <w:tcPr>
            <w:tcW w:w="997" w:type="dxa"/>
            <w:vAlign w:val="center"/>
          </w:tcPr>
          <w:p>
            <w:pPr>
              <w:spacing w:before="120" w:line="400" w:lineRule="atLeast"/>
              <w:jc w:val="center"/>
              <w:rPr>
                <w:rFonts w:ascii="宋体" w:hAnsi="宋体"/>
                <w:szCs w:val="24"/>
              </w:rPr>
            </w:pPr>
            <w:r>
              <w:rPr>
                <w:rFonts w:ascii="宋体" w:hAnsi="宋体"/>
                <w:szCs w:val="24"/>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Align w:val="center"/>
          </w:tcPr>
          <w:p>
            <w:pPr>
              <w:spacing w:before="120" w:line="400" w:lineRule="atLeast"/>
              <w:jc w:val="center"/>
              <w:rPr>
                <w:rFonts w:ascii="宋体" w:hAnsi="宋体"/>
                <w:szCs w:val="24"/>
              </w:rPr>
            </w:pPr>
            <w:r>
              <w:rPr>
                <w:rFonts w:ascii="宋体" w:hAnsi="宋体"/>
                <w:szCs w:val="24"/>
              </w:rPr>
              <w:t>价格分（10分）</w:t>
            </w:r>
          </w:p>
        </w:tc>
        <w:tc>
          <w:tcPr>
            <w:tcW w:w="1415" w:type="dxa"/>
            <w:vAlign w:val="center"/>
          </w:tcPr>
          <w:p>
            <w:pPr>
              <w:spacing w:before="120" w:line="400" w:lineRule="atLeast"/>
              <w:jc w:val="center"/>
              <w:rPr>
                <w:rFonts w:ascii="宋体" w:hAnsi="宋体"/>
                <w:szCs w:val="24"/>
              </w:rPr>
            </w:pPr>
            <w:r>
              <w:rPr>
                <w:rFonts w:ascii="宋体" w:hAnsi="宋体"/>
                <w:szCs w:val="24"/>
              </w:rPr>
              <w:t>投标报价</w:t>
            </w:r>
          </w:p>
        </w:tc>
        <w:tc>
          <w:tcPr>
            <w:tcW w:w="5956" w:type="dxa"/>
            <w:vAlign w:val="center"/>
          </w:tcPr>
          <w:p>
            <w:pPr>
              <w:spacing w:before="120" w:line="400" w:lineRule="atLeast"/>
              <w:rPr>
                <w:rFonts w:ascii="宋体" w:hAnsi="宋体"/>
                <w:szCs w:val="24"/>
              </w:rPr>
            </w:pPr>
            <w:r>
              <w:rPr>
                <w:rFonts w:hint="eastAsia" w:ascii="宋体" w:hAnsi="宋体"/>
                <w:szCs w:val="24"/>
              </w:rPr>
              <w:t>价格分统一采用低价优先法，即满足招标文件要求且投标价格最低的投标报价为评标基准价。其价格分为满分</w:t>
            </w:r>
            <w:r>
              <w:rPr>
                <w:rFonts w:ascii="宋体" w:hAnsi="宋体"/>
                <w:szCs w:val="24"/>
              </w:rPr>
              <w:t xml:space="preserve"> 10 分。</w:t>
            </w:r>
            <w:r>
              <w:rPr>
                <w:rFonts w:hint="eastAsia" w:ascii="宋体" w:hAnsi="宋体"/>
                <w:szCs w:val="24"/>
              </w:rPr>
              <w:t>其他投标人的价格分统一按照下列公式计算：</w:t>
            </w:r>
          </w:p>
          <w:p>
            <w:pPr>
              <w:spacing w:before="120" w:line="400" w:lineRule="atLeast"/>
              <w:rPr>
                <w:rFonts w:ascii="宋体" w:hAnsi="宋体"/>
                <w:szCs w:val="24"/>
              </w:rPr>
            </w:pPr>
            <w:r>
              <w:rPr>
                <w:rFonts w:hint="eastAsia" w:ascii="宋体" w:hAnsi="宋体"/>
                <w:szCs w:val="24"/>
              </w:rPr>
              <w:t>投标报价得分＝（评标基准价</w:t>
            </w:r>
            <w:r>
              <w:rPr>
                <w:rFonts w:ascii="宋体" w:hAnsi="宋体"/>
                <w:szCs w:val="24"/>
              </w:rPr>
              <w:t>/投标报价）×10％×100</w:t>
            </w:r>
          </w:p>
        </w:tc>
        <w:tc>
          <w:tcPr>
            <w:tcW w:w="997" w:type="dxa"/>
            <w:vAlign w:val="center"/>
          </w:tcPr>
          <w:p>
            <w:pPr>
              <w:spacing w:before="120" w:line="400" w:lineRule="atLeast"/>
              <w:jc w:val="center"/>
              <w:rPr>
                <w:rFonts w:ascii="宋体" w:hAnsi="宋体"/>
                <w:szCs w:val="24"/>
              </w:rPr>
            </w:pPr>
            <w:r>
              <w:rPr>
                <w:rFonts w:ascii="宋体" w:hAnsi="宋体"/>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686" w:type="dxa"/>
            <w:gridSpan w:val="2"/>
            <w:vAlign w:val="center"/>
          </w:tcPr>
          <w:p>
            <w:pPr>
              <w:spacing w:before="120" w:line="400" w:lineRule="atLeast"/>
              <w:jc w:val="center"/>
              <w:rPr>
                <w:rFonts w:ascii="宋体" w:hAnsi="宋体"/>
                <w:szCs w:val="24"/>
              </w:rPr>
            </w:pPr>
            <w:r>
              <w:rPr>
                <w:rFonts w:ascii="宋体" w:hAnsi="宋体"/>
                <w:szCs w:val="24"/>
              </w:rPr>
              <w:t>投标人得分计算方法</w:t>
            </w:r>
          </w:p>
        </w:tc>
        <w:tc>
          <w:tcPr>
            <w:tcW w:w="6953" w:type="dxa"/>
            <w:gridSpan w:val="2"/>
            <w:vAlign w:val="center"/>
          </w:tcPr>
          <w:p>
            <w:pPr>
              <w:spacing w:before="120" w:line="400" w:lineRule="atLeast"/>
              <w:rPr>
                <w:rFonts w:ascii="宋体" w:hAnsi="宋体"/>
                <w:szCs w:val="24"/>
              </w:rPr>
            </w:pPr>
            <w:r>
              <w:rPr>
                <w:rFonts w:ascii="宋体" w:hAnsi="宋体"/>
                <w:szCs w:val="24"/>
              </w:rPr>
              <w:t>各投标人的技术标得分为各评委所评技术标合计分值的算术平均值（取小数点后两位，第三位的数字四舍五入）。</w:t>
            </w:r>
          </w:p>
          <w:p>
            <w:pPr>
              <w:spacing w:before="120" w:line="400" w:lineRule="atLeast"/>
              <w:rPr>
                <w:rFonts w:ascii="宋体" w:hAnsi="宋体"/>
                <w:szCs w:val="24"/>
              </w:rPr>
            </w:pPr>
            <w:r>
              <w:rPr>
                <w:rFonts w:ascii="宋体" w:hAnsi="宋体"/>
                <w:szCs w:val="24"/>
              </w:rPr>
              <w:t>投标人总得分=技术分得分+资信分得分+价格分得分</w:t>
            </w:r>
          </w:p>
        </w:tc>
      </w:tr>
    </w:tbl>
    <w:p>
      <w:pPr>
        <w:pStyle w:val="63"/>
        <w:rPr>
          <w:rFonts w:hAnsi="宋体" w:cs="仿宋"/>
          <w:b/>
          <w:bCs/>
          <w:sz w:val="32"/>
          <w:szCs w:val="32"/>
        </w:rPr>
      </w:pPr>
    </w:p>
    <w:p>
      <w:pPr>
        <w:jc w:val="center"/>
        <w:rPr>
          <w:rFonts w:ascii="宋体" w:hAnsi="宋体"/>
          <w:sz w:val="28"/>
          <w:szCs w:val="28"/>
        </w:rPr>
      </w:pPr>
    </w:p>
    <w:p>
      <w:pPr>
        <w:pStyle w:val="63"/>
        <w:spacing w:line="360" w:lineRule="auto"/>
        <w:ind w:firstLine="480" w:firstLineChars="200"/>
        <w:rPr>
          <w:rFonts w:hAnsi="宋体"/>
        </w:rPr>
      </w:pPr>
    </w:p>
    <w:p>
      <w:pPr>
        <w:pStyle w:val="2"/>
        <w:spacing w:after="360"/>
        <w:rPr>
          <w:rFonts w:ascii="宋体" w:hAnsi="宋体"/>
        </w:rPr>
      </w:pPr>
      <w:bookmarkStart w:id="58" w:name="_Toc116304872"/>
      <w:r>
        <w:rPr>
          <w:rFonts w:hint="eastAsia" w:ascii="宋体" w:hAnsi="宋体"/>
        </w:rPr>
        <w:t>投标文件格式</w:t>
      </w:r>
      <w:bookmarkEnd w:id="58"/>
    </w:p>
    <w:p>
      <w:pPr>
        <w:rPr>
          <w:rFonts w:ascii="宋体" w:hAnsi="宋体"/>
        </w:rPr>
      </w:pPr>
    </w:p>
    <w:p>
      <w:pPr>
        <w:contextualSpacing/>
        <w:jc w:val="center"/>
        <w:rPr>
          <w:rFonts w:ascii="宋体" w:hAnsi="宋体" w:cs="仿宋"/>
          <w:b/>
          <w:sz w:val="52"/>
          <w:szCs w:val="52"/>
        </w:rPr>
      </w:pPr>
      <w:r>
        <w:rPr>
          <w:rFonts w:hint="eastAsia" w:ascii="宋体" w:hAnsi="宋体" w:cs="仿宋"/>
          <w:b/>
          <w:sz w:val="52"/>
          <w:szCs w:val="52"/>
        </w:rPr>
        <w:t>投资黄山数智化平台</w:t>
      </w:r>
    </w:p>
    <w:p>
      <w:pPr>
        <w:contextualSpacing/>
        <w:jc w:val="center"/>
        <w:rPr>
          <w:rFonts w:ascii="宋体" w:hAnsi="宋体" w:cs="仿宋"/>
          <w:b/>
          <w:sz w:val="52"/>
          <w:szCs w:val="52"/>
        </w:rPr>
      </w:pPr>
      <w:r>
        <w:rPr>
          <w:rFonts w:hint="eastAsia" w:ascii="宋体" w:hAnsi="宋体" w:cs="仿宋"/>
          <w:b/>
          <w:sz w:val="52"/>
          <w:szCs w:val="52"/>
        </w:rPr>
        <w:t>网络安全等级保护测评服务项目</w:t>
      </w:r>
    </w:p>
    <w:p>
      <w:pPr>
        <w:contextualSpacing/>
        <w:jc w:val="center"/>
        <w:rPr>
          <w:rFonts w:ascii="宋体" w:hAnsi="宋体" w:cs="仿宋"/>
          <w:b/>
          <w:sz w:val="52"/>
          <w:szCs w:val="52"/>
        </w:rPr>
      </w:pPr>
    </w:p>
    <w:p>
      <w:pPr>
        <w:contextualSpacing/>
        <w:jc w:val="center"/>
        <w:rPr>
          <w:rFonts w:ascii="宋体" w:hAnsi="宋体" w:cs="仿宋"/>
          <w:b/>
          <w:sz w:val="52"/>
          <w:szCs w:val="52"/>
        </w:rPr>
      </w:pPr>
    </w:p>
    <w:p>
      <w:pPr>
        <w:contextualSpacing/>
        <w:jc w:val="center"/>
        <w:rPr>
          <w:rFonts w:ascii="宋体" w:hAnsi="宋体" w:cs="仿宋"/>
          <w:b/>
          <w:sz w:val="52"/>
          <w:szCs w:val="52"/>
        </w:rPr>
      </w:pPr>
      <w:r>
        <w:rPr>
          <w:rFonts w:hint="eastAsia" w:ascii="宋体" w:hAnsi="宋体" w:cs="仿宋"/>
          <w:b/>
          <w:sz w:val="52"/>
          <w:szCs w:val="52"/>
        </w:rPr>
        <w:t>投</w:t>
      </w:r>
    </w:p>
    <w:p>
      <w:pPr>
        <w:contextualSpacing/>
        <w:jc w:val="center"/>
        <w:rPr>
          <w:rFonts w:ascii="宋体" w:hAnsi="宋体" w:cs="仿宋"/>
          <w:b/>
          <w:sz w:val="52"/>
          <w:szCs w:val="52"/>
        </w:rPr>
      </w:pPr>
      <w:r>
        <w:rPr>
          <w:rFonts w:ascii="宋体" w:hAnsi="宋体" w:cs="仿宋"/>
          <w:b/>
          <w:sz w:val="52"/>
          <w:szCs w:val="52"/>
        </w:rPr>
        <w:t>标</w:t>
      </w:r>
    </w:p>
    <w:p>
      <w:pPr>
        <w:contextualSpacing/>
        <w:jc w:val="center"/>
        <w:rPr>
          <w:rFonts w:ascii="宋体" w:hAnsi="宋体" w:cs="仿宋"/>
          <w:b/>
          <w:sz w:val="52"/>
          <w:szCs w:val="52"/>
        </w:rPr>
      </w:pPr>
      <w:r>
        <w:rPr>
          <w:rFonts w:ascii="宋体" w:hAnsi="宋体" w:cs="仿宋"/>
          <w:b/>
          <w:sz w:val="52"/>
          <w:szCs w:val="52"/>
        </w:rPr>
        <w:t>文</w:t>
      </w:r>
    </w:p>
    <w:p>
      <w:pPr>
        <w:contextualSpacing/>
        <w:jc w:val="center"/>
        <w:rPr>
          <w:rFonts w:ascii="宋体" w:hAnsi="宋体" w:cs="仿宋"/>
          <w:b/>
          <w:sz w:val="52"/>
          <w:szCs w:val="52"/>
        </w:rPr>
      </w:pPr>
      <w:r>
        <w:rPr>
          <w:rFonts w:ascii="宋体" w:hAnsi="宋体" w:cs="仿宋"/>
          <w:b/>
          <w:sz w:val="52"/>
          <w:szCs w:val="52"/>
        </w:rPr>
        <w:t>件</w:t>
      </w: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snapToGrid w:val="0"/>
          <w:sz w:val="28"/>
          <w:szCs w:val="28"/>
        </w:rPr>
      </w:pPr>
    </w:p>
    <w:p>
      <w:pPr>
        <w:contextualSpacing/>
        <w:jc w:val="center"/>
        <w:rPr>
          <w:rFonts w:ascii="宋体" w:hAnsi="宋体" w:cs="仿宋"/>
          <w:b/>
          <w:bCs/>
          <w:sz w:val="36"/>
          <w:szCs w:val="36"/>
        </w:rPr>
      </w:pPr>
      <w:r>
        <w:rPr>
          <w:rFonts w:hint="eastAsia" w:ascii="宋体" w:hAnsi="宋体" w:cs="仿宋"/>
          <w:b/>
          <w:bCs/>
          <w:sz w:val="36"/>
          <w:szCs w:val="36"/>
        </w:rPr>
        <w:t>投</w:t>
      </w:r>
      <w:r>
        <w:rPr>
          <w:rFonts w:ascii="宋体" w:hAnsi="宋体" w:cs="仿宋"/>
          <w:b/>
          <w:bCs/>
          <w:sz w:val="36"/>
          <w:szCs w:val="36"/>
        </w:rPr>
        <w:t>标人：</w:t>
      </w:r>
      <w:r>
        <w:rPr>
          <w:rFonts w:hint="eastAsia" w:ascii="宋体" w:hAnsi="宋体" w:cs="仿宋"/>
          <w:b/>
          <w:bCs/>
          <w:sz w:val="36"/>
          <w:szCs w:val="36"/>
        </w:rPr>
        <w:t>**单位</w:t>
      </w:r>
    </w:p>
    <w:p>
      <w:pPr>
        <w:contextualSpacing/>
        <w:jc w:val="center"/>
        <w:rPr>
          <w:rFonts w:ascii="宋体" w:hAnsi="宋体" w:cs="仿宋"/>
          <w:b/>
          <w:bCs/>
          <w:sz w:val="36"/>
          <w:szCs w:val="36"/>
        </w:rPr>
      </w:pPr>
    </w:p>
    <w:p>
      <w:pPr>
        <w:contextualSpacing/>
        <w:jc w:val="center"/>
        <w:rPr>
          <w:rFonts w:ascii="宋体" w:hAnsi="宋体" w:cs="仿宋"/>
          <w:b/>
          <w:bCs/>
          <w:sz w:val="36"/>
          <w:szCs w:val="36"/>
        </w:rPr>
      </w:pPr>
    </w:p>
    <w:p>
      <w:pPr>
        <w:contextualSpacing/>
        <w:jc w:val="center"/>
        <w:rPr>
          <w:rFonts w:ascii="宋体" w:hAnsi="宋体" w:cs="仿宋"/>
          <w:b/>
          <w:bCs/>
          <w:sz w:val="36"/>
          <w:szCs w:val="36"/>
        </w:rPr>
      </w:pPr>
      <w:r>
        <w:rPr>
          <w:rFonts w:ascii="宋体" w:hAnsi="宋体" w:cs="仿宋"/>
          <w:b/>
          <w:bCs/>
          <w:sz w:val="36"/>
          <w:szCs w:val="36"/>
        </w:rPr>
        <w:t>2023年X月XX日</w:t>
      </w:r>
    </w:p>
    <w:p>
      <w:pPr>
        <w:rPr>
          <w:rFonts w:ascii="宋体" w:hAnsi="宋体"/>
        </w:rPr>
      </w:pPr>
    </w:p>
    <w:p>
      <w:pPr>
        <w:rPr>
          <w:rFonts w:ascii="宋体" w:hAnsi="宋体"/>
        </w:rPr>
      </w:pPr>
    </w:p>
    <w:p>
      <w:pPr>
        <w:rPr>
          <w:rFonts w:ascii="宋体" w:hAnsi="宋体"/>
        </w:rPr>
      </w:pPr>
    </w:p>
    <w:p>
      <w:pPr>
        <w:pStyle w:val="3"/>
        <w:jc w:val="center"/>
        <w:rPr>
          <w:rFonts w:ascii="宋体" w:hAnsi="宋体"/>
        </w:rPr>
      </w:pPr>
      <w:bookmarkStart w:id="59" w:name="_Toc116304873"/>
      <w:r>
        <w:rPr>
          <w:rFonts w:ascii="宋体" w:hAnsi="宋体"/>
        </w:rPr>
        <w:t>报价单</w:t>
      </w:r>
      <w:bookmarkEnd w:id="59"/>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461" w:type="dxa"/>
            <w:tcBorders>
              <w:top w:val="single" w:color="auto" w:sz="4" w:space="0"/>
              <w:bottom w:val="single" w:color="auto" w:sz="4" w:space="0"/>
              <w:right w:val="single" w:color="auto" w:sz="4" w:space="0"/>
            </w:tcBorders>
            <w:vAlign w:val="center"/>
          </w:tcPr>
          <w:p>
            <w:pPr>
              <w:jc w:val="center"/>
              <w:rPr>
                <w:rFonts w:ascii="宋体" w:hAnsi="宋体"/>
                <w:b/>
                <w:bCs/>
              </w:rPr>
            </w:pPr>
            <w:r>
              <w:rPr>
                <w:rFonts w:ascii="宋体" w:hAnsi="宋体"/>
                <w:b/>
                <w:bCs/>
              </w:rPr>
              <w:t>项目名称</w:t>
            </w:r>
          </w:p>
        </w:tc>
        <w:tc>
          <w:tcPr>
            <w:tcW w:w="7259" w:type="dxa"/>
            <w:tcBorders>
              <w:top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trPr>
        <w:tc>
          <w:tcPr>
            <w:tcW w:w="2461" w:type="dxa"/>
            <w:tcBorders>
              <w:top w:val="nil"/>
            </w:tcBorders>
            <w:vAlign w:val="center"/>
          </w:tcPr>
          <w:p>
            <w:pPr>
              <w:jc w:val="center"/>
              <w:rPr>
                <w:rFonts w:ascii="宋体" w:hAnsi="宋体"/>
                <w:b/>
                <w:bCs/>
              </w:rPr>
            </w:pPr>
            <w:r>
              <w:rPr>
                <w:rFonts w:ascii="宋体" w:hAnsi="宋体"/>
                <w:b/>
                <w:bCs/>
              </w:rPr>
              <w:t>投标人全称</w:t>
            </w:r>
          </w:p>
        </w:tc>
        <w:tc>
          <w:tcPr>
            <w:tcW w:w="7259" w:type="dxa"/>
            <w:tcBorders>
              <w:top w:val="nil"/>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2461" w:type="dxa"/>
            <w:vAlign w:val="center"/>
          </w:tcPr>
          <w:p>
            <w:pPr>
              <w:jc w:val="center"/>
              <w:rPr>
                <w:rFonts w:ascii="宋体" w:hAnsi="宋体"/>
                <w:b/>
                <w:bCs/>
              </w:rPr>
            </w:pPr>
            <w:r>
              <w:rPr>
                <w:rFonts w:ascii="宋体" w:hAnsi="宋体"/>
                <w:b/>
                <w:bCs/>
              </w:rPr>
              <w:t>投标报价</w:t>
            </w:r>
          </w:p>
        </w:tc>
        <w:tc>
          <w:tcPr>
            <w:tcW w:w="7259" w:type="dxa"/>
            <w:vAlign w:val="center"/>
          </w:tcPr>
          <w:p>
            <w:pPr>
              <w:jc w:val="center"/>
              <w:rPr>
                <w:rFonts w:ascii="宋体" w:hAnsi="宋体"/>
              </w:rPr>
            </w:pPr>
            <w:r>
              <w:rPr>
                <w:rFonts w:ascii="宋体" w:hAnsi="宋体"/>
              </w:rPr>
              <w:t>小写：</w:t>
            </w:r>
            <w:r>
              <w:rPr>
                <w:rFonts w:ascii="宋体" w:hAnsi="宋体"/>
                <w:u w:val="single"/>
              </w:rPr>
              <w:t xml:space="preserve">           </w:t>
            </w:r>
            <w:r>
              <w:rPr>
                <w:rFonts w:ascii="宋体" w:hAnsi="宋体"/>
              </w:rPr>
              <w:t>元</w:t>
            </w:r>
          </w:p>
          <w:p>
            <w:pPr>
              <w:jc w:val="center"/>
              <w:rPr>
                <w:rFonts w:ascii="宋体" w:hAnsi="宋体"/>
              </w:rPr>
            </w:pPr>
            <w:r>
              <w:rPr>
                <w:rFonts w:ascii="宋体" w:hAnsi="宋体"/>
              </w:rPr>
              <w:t>大写：</w:t>
            </w:r>
            <w:r>
              <w:rPr>
                <w:rFonts w:ascii="宋体" w:hAnsi="宋体"/>
                <w:u w:val="single"/>
              </w:rPr>
              <w:t xml:space="preserve">          </w:t>
            </w:r>
            <w:r>
              <w:rPr>
                <w:rFonts w:ascii="宋体" w:hAnsi="宋体"/>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2461" w:type="dxa"/>
            <w:vAlign w:val="center"/>
          </w:tcPr>
          <w:p>
            <w:pPr>
              <w:jc w:val="center"/>
              <w:rPr>
                <w:rFonts w:ascii="宋体" w:hAnsi="宋体"/>
                <w:b/>
                <w:bCs/>
              </w:rPr>
            </w:pPr>
            <w:r>
              <w:rPr>
                <w:rFonts w:ascii="宋体" w:hAnsi="宋体"/>
                <w:b/>
                <w:bCs/>
              </w:rPr>
              <w:t>服务期</w:t>
            </w:r>
          </w:p>
        </w:tc>
        <w:tc>
          <w:tcPr>
            <w:tcW w:w="7259" w:type="dxa"/>
            <w:vAlign w:val="center"/>
          </w:tcPr>
          <w:p>
            <w:pPr>
              <w:rPr>
                <w:rFonts w:ascii="宋体" w:hAns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461" w:type="dxa"/>
            <w:vAlign w:val="center"/>
          </w:tcPr>
          <w:p>
            <w:pPr>
              <w:jc w:val="center"/>
              <w:rPr>
                <w:rFonts w:ascii="宋体" w:hAnsi="宋体"/>
                <w:b/>
                <w:bCs/>
              </w:rPr>
            </w:pPr>
            <w:r>
              <w:rPr>
                <w:rFonts w:ascii="宋体" w:hAnsi="宋体"/>
                <w:b/>
                <w:bCs/>
              </w:rPr>
              <w:t>备注</w:t>
            </w:r>
          </w:p>
        </w:tc>
        <w:tc>
          <w:tcPr>
            <w:tcW w:w="7259" w:type="dxa"/>
            <w:vAlign w:val="center"/>
          </w:tcPr>
          <w:p>
            <w:pPr>
              <w:rPr>
                <w:rFonts w:ascii="宋体" w:hAnsi="宋体"/>
              </w:rPr>
            </w:pPr>
          </w:p>
        </w:tc>
      </w:tr>
    </w:tbl>
    <w:p>
      <w:pPr>
        <w:snapToGrid w:val="0"/>
        <w:spacing w:before="100" w:beforeAutospacing="1" w:after="100" w:afterAutospacing="1" w:line="360" w:lineRule="auto"/>
        <w:rPr>
          <w:rFonts w:ascii="宋体" w:hAnsi="宋体"/>
          <w:b/>
        </w:rPr>
      </w:pPr>
      <w:r>
        <w:rPr>
          <w:rFonts w:ascii="宋体" w:hAnsi="宋体"/>
          <w:b/>
        </w:rPr>
        <w:t>投标人盖章：                            日期：</w:t>
      </w:r>
    </w:p>
    <w:p>
      <w:pPr>
        <w:snapToGrid w:val="0"/>
        <w:spacing w:line="360" w:lineRule="auto"/>
        <w:rPr>
          <w:rFonts w:ascii="宋体" w:hAnsi="宋体"/>
          <w:bCs/>
        </w:rPr>
      </w:pPr>
      <w:r>
        <w:rPr>
          <w:rFonts w:ascii="宋体" w:hAnsi="宋体"/>
          <w:bCs/>
        </w:rPr>
        <w:t>1、投标报价为投标人在</w:t>
      </w:r>
      <w:r>
        <w:rPr>
          <w:rFonts w:ascii="宋体" w:hAnsi="宋体" w:cs="仿宋"/>
          <w:szCs w:val="24"/>
        </w:rPr>
        <w:t>招标</w:t>
      </w:r>
      <w:r>
        <w:rPr>
          <w:rFonts w:ascii="宋体" w:hAnsi="宋体"/>
          <w:bCs/>
        </w:rPr>
        <w:t>文件中提出的各项支付金额的总和。投标人的报价应包括本次</w:t>
      </w:r>
      <w:r>
        <w:rPr>
          <w:rFonts w:ascii="宋体" w:hAnsi="宋体" w:cs="仿宋"/>
          <w:szCs w:val="24"/>
        </w:rPr>
        <w:t>招标</w:t>
      </w:r>
      <w:r>
        <w:rPr>
          <w:rFonts w:ascii="宋体" w:hAnsi="宋体"/>
          <w:bCs/>
        </w:rPr>
        <w:t>全部内容及成本、利润、税金等所有费用。投标报价为最终报价。成交投标人应向建设单位出具税务发票。</w:t>
      </w:r>
    </w:p>
    <w:p>
      <w:pPr>
        <w:snapToGrid w:val="0"/>
        <w:spacing w:line="360" w:lineRule="auto"/>
        <w:rPr>
          <w:rFonts w:ascii="宋体" w:hAnsi="宋体"/>
          <w:bCs/>
        </w:rPr>
      </w:pPr>
      <w:r>
        <w:rPr>
          <w:rFonts w:ascii="宋体" w:hAnsi="宋体"/>
          <w:bCs/>
        </w:rPr>
        <w:t>2、本表中如存在大写金额与小写金额不一致的，投标人须以大写金额为准进行修正；总价金额与依据单价计算出的结果不一致的，须以单价金额为准进行修正，除单价金额小数点有明显错误。</w:t>
      </w:r>
    </w:p>
    <w:p>
      <w:pPr>
        <w:pStyle w:val="3"/>
        <w:pageBreakBefore/>
        <w:jc w:val="center"/>
        <w:rPr>
          <w:rFonts w:ascii="宋体" w:hAnsi="宋体"/>
        </w:rPr>
      </w:pPr>
      <w:bookmarkStart w:id="60" w:name="_Toc116304874"/>
      <w:r>
        <w:rPr>
          <w:rFonts w:ascii="宋体" w:hAnsi="宋体"/>
        </w:rPr>
        <w:t>法人代表授权书</w:t>
      </w:r>
      <w:bookmarkEnd w:id="60"/>
    </w:p>
    <w:p>
      <w:pPr>
        <w:wordWrap w:val="0"/>
        <w:snapToGrid w:val="0"/>
        <w:ind w:firstLine="480" w:firstLineChars="200"/>
        <w:rPr>
          <w:rFonts w:ascii="宋体" w:hAnsi="宋体"/>
        </w:rPr>
      </w:pPr>
      <w:r>
        <w:rPr>
          <w:rFonts w:ascii="宋体" w:hAnsi="宋体"/>
        </w:rPr>
        <w:t>本授权书声明：</w:t>
      </w:r>
      <w:r>
        <w:rPr>
          <w:rFonts w:ascii="宋体" w:hAnsi="宋体"/>
          <w:u w:val="single"/>
        </w:rPr>
        <w:t xml:space="preserve">           </w:t>
      </w:r>
      <w:r>
        <w:rPr>
          <w:rFonts w:ascii="宋体" w:hAnsi="宋体"/>
        </w:rPr>
        <w:t>公司的</w:t>
      </w:r>
      <w:r>
        <w:rPr>
          <w:rFonts w:ascii="宋体" w:hAnsi="宋体"/>
          <w:u w:val="single"/>
        </w:rPr>
        <w:t xml:space="preserve">       </w:t>
      </w:r>
      <w:r>
        <w:rPr>
          <w:rFonts w:ascii="宋体" w:hAnsi="宋体"/>
        </w:rPr>
        <w:t>（法人代表姓名、职务）代表本公司授权</w:t>
      </w:r>
      <w:r>
        <w:rPr>
          <w:rFonts w:ascii="宋体" w:hAnsi="宋体"/>
          <w:u w:val="single"/>
        </w:rPr>
        <w:t xml:space="preserve">        </w:t>
      </w:r>
      <w:r>
        <w:rPr>
          <w:rFonts w:ascii="宋体" w:hAnsi="宋体"/>
        </w:rPr>
        <w:t>（</w:t>
      </w:r>
      <w:r>
        <w:rPr>
          <w:rFonts w:hint="eastAsia" w:ascii="宋体" w:hAnsi="宋体"/>
        </w:rPr>
        <w:t>代理</w:t>
      </w:r>
      <w:r>
        <w:rPr>
          <w:rFonts w:ascii="宋体" w:hAnsi="宋体"/>
        </w:rPr>
        <w:t>人的姓名、职务）为本公司的合法代理人，参加贵单位</w:t>
      </w:r>
      <w:r>
        <w:rPr>
          <w:rFonts w:ascii="宋体" w:hAnsi="宋体"/>
          <w:b/>
          <w:u w:val="single"/>
        </w:rPr>
        <w:t xml:space="preserve">            </w:t>
      </w:r>
      <w:r>
        <w:rPr>
          <w:rFonts w:ascii="宋体" w:hAnsi="宋体"/>
        </w:rPr>
        <w:t>项目的投标、合同签订，以及合同执行等活动，其可以本公司名义处理一切与之有关的事务。</w:t>
      </w:r>
    </w:p>
    <w:p>
      <w:pPr>
        <w:wordWrap w:val="0"/>
        <w:snapToGrid w:val="0"/>
        <w:ind w:firstLine="480" w:firstLineChars="200"/>
        <w:rPr>
          <w:rFonts w:ascii="宋体" w:hAnsi="宋体"/>
        </w:rPr>
      </w:pPr>
      <w:r>
        <w:rPr>
          <w:rFonts w:ascii="宋体" w:hAnsi="宋体"/>
        </w:rPr>
        <w:t>特此声明。</w:t>
      </w:r>
    </w:p>
    <w:p>
      <w:pPr>
        <w:wordWrap w:val="0"/>
        <w:snapToGrid w:val="0"/>
        <w:ind w:firstLine="480" w:firstLineChars="200"/>
        <w:rPr>
          <w:rFonts w:ascii="宋体" w:hAnsi="宋体"/>
        </w:rPr>
      </w:pPr>
    </w:p>
    <w:p>
      <w:pPr>
        <w:wordWrap w:val="0"/>
        <w:snapToGrid w:val="0"/>
        <w:ind w:firstLine="480" w:firstLineChars="200"/>
        <w:rPr>
          <w:rFonts w:ascii="宋体" w:hAnsi="宋体"/>
          <w:u w:val="single"/>
        </w:rPr>
      </w:pPr>
      <w:r>
        <w:rPr>
          <w:rFonts w:ascii="宋体" w:hAnsi="宋体"/>
        </w:rPr>
        <w:t>法人代表签字：</w:t>
      </w:r>
      <w:r>
        <w:rPr>
          <w:rFonts w:ascii="宋体" w:hAnsi="宋体"/>
          <w:u w:val="single"/>
        </w:rPr>
        <w:t xml:space="preserve">           </w:t>
      </w:r>
    </w:p>
    <w:p>
      <w:pPr>
        <w:wordWrap w:val="0"/>
        <w:snapToGrid w:val="0"/>
        <w:ind w:firstLine="480" w:firstLineChars="200"/>
        <w:rPr>
          <w:rFonts w:ascii="宋体" w:hAnsi="宋体"/>
          <w:u w:val="single"/>
        </w:rPr>
      </w:pPr>
      <w:r>
        <w:rPr>
          <w:rFonts w:ascii="宋体" w:hAnsi="宋体"/>
        </w:rPr>
        <w:t>职务：</w:t>
      </w:r>
      <w:r>
        <w:rPr>
          <w:rFonts w:ascii="宋体" w:hAnsi="宋体"/>
          <w:u w:val="single"/>
        </w:rPr>
        <w:t xml:space="preserve">              </w:t>
      </w:r>
    </w:p>
    <w:p>
      <w:pPr>
        <w:wordWrap w:val="0"/>
        <w:snapToGrid w:val="0"/>
        <w:ind w:firstLine="480" w:firstLineChars="200"/>
        <w:rPr>
          <w:rFonts w:ascii="宋体" w:hAnsi="宋体"/>
        </w:rPr>
      </w:pPr>
      <w:r>
        <w:rPr>
          <w:rFonts w:ascii="宋体" w:hAnsi="宋体"/>
        </w:rPr>
        <w:t>代理人签字：</w:t>
      </w:r>
      <w:r>
        <w:rPr>
          <w:rFonts w:ascii="宋体" w:hAnsi="宋体"/>
          <w:u w:val="single"/>
        </w:rPr>
        <w:t xml:space="preserve">              </w:t>
      </w:r>
    </w:p>
    <w:p>
      <w:pPr>
        <w:wordWrap w:val="0"/>
        <w:snapToGrid w:val="0"/>
        <w:ind w:firstLine="480" w:firstLineChars="200"/>
        <w:rPr>
          <w:rFonts w:ascii="宋体" w:hAnsi="宋体"/>
        </w:rPr>
      </w:pPr>
      <w:r>
        <w:rPr>
          <w:rFonts w:ascii="宋体" w:hAnsi="宋体"/>
        </w:rPr>
        <w:t>职务：</w:t>
      </w:r>
      <w:r>
        <w:rPr>
          <w:rFonts w:ascii="宋体" w:hAnsi="宋体"/>
          <w:u w:val="single"/>
        </w:rPr>
        <w:t xml:space="preserve">              </w:t>
      </w:r>
    </w:p>
    <w:p>
      <w:pPr>
        <w:wordWrap w:val="0"/>
        <w:snapToGrid w:val="0"/>
        <w:ind w:firstLine="480" w:firstLineChars="200"/>
        <w:rPr>
          <w:rFonts w:ascii="宋体" w:hAnsi="宋体"/>
          <w:u w:val="single"/>
        </w:rPr>
      </w:pPr>
      <w:r>
        <w:rPr>
          <w:rFonts w:ascii="宋体" w:hAnsi="宋体"/>
        </w:rPr>
        <w:t>投标人名称(加盖公章)：</w:t>
      </w:r>
      <w:r>
        <w:rPr>
          <w:rFonts w:ascii="宋体" w:hAnsi="宋体"/>
          <w:u w:val="single"/>
        </w:rPr>
        <w:t xml:space="preserve">                       </w:t>
      </w:r>
    </w:p>
    <w:p>
      <w:pPr>
        <w:wordWrap w:val="0"/>
        <w:ind w:firstLine="480" w:firstLineChars="200"/>
        <w:rPr>
          <w:rFonts w:ascii="宋体" w:hAnsi="宋体"/>
          <w:u w:val="single"/>
        </w:rPr>
      </w:pPr>
      <w:r>
        <w:rPr>
          <w:rFonts w:ascii="宋体" w:hAnsi="宋体"/>
        </w:rPr>
        <w:t>日期：</w:t>
      </w:r>
      <w:r>
        <w:rPr>
          <w:rFonts w:ascii="宋体" w:hAnsi="宋体"/>
          <w:u w:val="single"/>
        </w:rPr>
        <w:t xml:space="preserve">      </w:t>
      </w:r>
    </w:p>
    <w:p>
      <w:pPr>
        <w:pStyle w:val="3"/>
        <w:pageBreakBefore/>
        <w:jc w:val="center"/>
        <w:rPr>
          <w:rFonts w:ascii="宋体" w:hAnsi="宋体"/>
        </w:rPr>
      </w:pPr>
      <w:bookmarkStart w:id="61" w:name="_Toc116304875"/>
      <w:r>
        <w:rPr>
          <w:rFonts w:hint="eastAsia" w:ascii="宋体" w:hAnsi="宋体"/>
        </w:rPr>
        <w:t>营业执照</w:t>
      </w:r>
      <w:bookmarkEnd w:id="61"/>
    </w:p>
    <w:p>
      <w:pPr>
        <w:rPr>
          <w:rFonts w:ascii="宋体" w:hAnsi="宋体"/>
        </w:rPr>
      </w:pPr>
    </w:p>
    <w:p>
      <w:pPr>
        <w:pStyle w:val="3"/>
        <w:jc w:val="center"/>
        <w:rPr>
          <w:rFonts w:ascii="宋体" w:hAnsi="宋体"/>
        </w:rPr>
      </w:pPr>
      <w:bookmarkStart w:id="62" w:name="_Toc116304876"/>
      <w:r>
        <w:rPr>
          <w:rFonts w:hint="eastAsia" w:ascii="宋体" w:hAnsi="宋体"/>
        </w:rPr>
        <w:t>投标人综合情况简介</w:t>
      </w:r>
      <w:bookmarkEnd w:id="62"/>
    </w:p>
    <w:p>
      <w:pPr>
        <w:jc w:val="center"/>
        <w:rPr>
          <w:rFonts w:ascii="宋体" w:hAnsi="宋体"/>
        </w:rPr>
      </w:pPr>
      <w:r>
        <w:rPr>
          <w:rFonts w:hint="eastAsia" w:ascii="宋体" w:hAnsi="宋体"/>
        </w:rPr>
        <w:t>格式自拟</w:t>
      </w:r>
    </w:p>
    <w:p>
      <w:pPr>
        <w:jc w:val="center"/>
        <w:rPr>
          <w:rFonts w:ascii="宋体" w:hAnsi="宋体"/>
        </w:rPr>
      </w:pPr>
    </w:p>
    <w:p>
      <w:pPr>
        <w:pStyle w:val="3"/>
        <w:jc w:val="center"/>
        <w:rPr>
          <w:rFonts w:ascii="宋体" w:hAnsi="宋体"/>
        </w:rPr>
      </w:pPr>
      <w:bookmarkStart w:id="63" w:name="_Toc116304877"/>
      <w:r>
        <w:rPr>
          <w:rFonts w:hint="eastAsia" w:ascii="宋体" w:hAnsi="宋体"/>
        </w:rPr>
        <w:t>服务方案</w:t>
      </w:r>
      <w:bookmarkEnd w:id="63"/>
    </w:p>
    <w:p>
      <w:pPr>
        <w:jc w:val="center"/>
        <w:rPr>
          <w:rFonts w:ascii="宋体" w:hAnsi="宋体"/>
        </w:rPr>
      </w:pPr>
      <w:r>
        <w:rPr>
          <w:rFonts w:hint="eastAsia" w:ascii="宋体" w:hAnsi="宋体"/>
        </w:rPr>
        <w:t>格式自拟</w:t>
      </w:r>
    </w:p>
    <w:p>
      <w:pPr>
        <w:jc w:val="center"/>
        <w:rPr>
          <w:rFonts w:ascii="宋体" w:hAnsi="宋体"/>
        </w:rPr>
      </w:pPr>
    </w:p>
    <w:p>
      <w:pPr>
        <w:pStyle w:val="3"/>
        <w:jc w:val="center"/>
        <w:rPr>
          <w:rFonts w:ascii="宋体" w:hAnsi="宋体"/>
        </w:rPr>
      </w:pPr>
      <w:bookmarkStart w:id="64" w:name="_Toc116304878"/>
      <w:r>
        <w:rPr>
          <w:rFonts w:hint="eastAsia" w:ascii="宋体" w:hAnsi="宋体"/>
        </w:rPr>
        <w:t>业绩案例</w:t>
      </w:r>
      <w:bookmarkEnd w:id="64"/>
    </w:p>
    <w:p>
      <w:pPr>
        <w:jc w:val="center"/>
        <w:rPr>
          <w:rFonts w:ascii="宋体" w:hAnsi="宋体"/>
        </w:rPr>
      </w:pPr>
      <w:r>
        <w:rPr>
          <w:rFonts w:hint="eastAsia" w:ascii="宋体" w:hAnsi="宋体"/>
        </w:rPr>
        <w:t>格式自拟</w:t>
      </w:r>
    </w:p>
    <w:p>
      <w:pPr>
        <w:rPr>
          <w:rFonts w:ascii="宋体" w:hAnsi="宋体"/>
        </w:rPr>
      </w:pPr>
    </w:p>
    <w:p>
      <w:pPr>
        <w:pStyle w:val="3"/>
        <w:jc w:val="center"/>
        <w:rPr>
          <w:rFonts w:ascii="宋体" w:hAnsi="宋体"/>
        </w:rPr>
      </w:pPr>
      <w:bookmarkStart w:id="65" w:name="_Toc116304879"/>
      <w:r>
        <w:rPr>
          <w:rFonts w:hint="eastAsia" w:ascii="宋体" w:hAnsi="宋体"/>
        </w:rPr>
        <w:t>项目人员配备</w:t>
      </w:r>
      <w:bookmarkEnd w:id="65"/>
    </w:p>
    <w:p>
      <w:pPr>
        <w:jc w:val="center"/>
        <w:rPr>
          <w:rFonts w:ascii="宋体" w:hAnsi="宋体"/>
        </w:rPr>
      </w:pPr>
      <w:r>
        <w:rPr>
          <w:rFonts w:hint="eastAsia" w:ascii="宋体" w:hAnsi="宋体"/>
        </w:rPr>
        <w:t>格式自拟</w:t>
      </w:r>
    </w:p>
    <w:p>
      <w:pPr>
        <w:rPr>
          <w:rFonts w:ascii="宋体" w:hAnsi="宋体"/>
        </w:rPr>
      </w:pPr>
    </w:p>
    <w:p>
      <w:pPr>
        <w:pStyle w:val="3"/>
        <w:jc w:val="center"/>
        <w:rPr>
          <w:rFonts w:ascii="宋体" w:hAnsi="宋体"/>
        </w:rPr>
      </w:pPr>
      <w:bookmarkStart w:id="66" w:name="_Toc116304880"/>
      <w:r>
        <w:rPr>
          <w:rFonts w:ascii="宋体" w:hAnsi="宋体"/>
        </w:rPr>
        <w:t>其他材料</w:t>
      </w:r>
      <w:bookmarkEnd w:id="66"/>
    </w:p>
    <w:p>
      <w:pPr>
        <w:jc w:val="center"/>
        <w:rPr>
          <w:rFonts w:ascii="宋体" w:hAnsi="宋体"/>
        </w:rPr>
      </w:pPr>
      <w:r>
        <w:rPr>
          <w:rFonts w:hint="eastAsia" w:ascii="宋体" w:hAnsi="宋体"/>
        </w:rPr>
        <w:t>格式自拟</w:t>
      </w:r>
    </w:p>
    <w:p>
      <w:pPr>
        <w:rPr>
          <w:rFonts w:ascii="宋体" w:hAnsi="宋体"/>
        </w:rPr>
      </w:pPr>
    </w:p>
    <w:p>
      <w:pPr>
        <w:rPr>
          <w:rFonts w:ascii="宋体" w:hAnsi="宋体"/>
        </w:rPr>
      </w:pPr>
    </w:p>
    <w:p>
      <w:pPr>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567" w:footer="567"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298843"/>
    </w:sdtPr>
    <w:sdtEndPr>
      <w:rPr>
        <w:rFonts w:ascii="宋体" w:hAnsi="宋体"/>
        <w:b/>
        <w:bCs/>
      </w:rPr>
    </w:sdtEndPr>
    <w:sdtContent>
      <w:p>
        <w:pPr>
          <w:pStyle w:val="21"/>
          <w:jc w:val="center"/>
          <w:rPr>
            <w:rFonts w:ascii="宋体" w:hAnsi="宋体"/>
            <w:b/>
            <w:bCs/>
          </w:rPr>
        </w:pP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2</w:t>
        </w:r>
        <w:r>
          <w:rPr>
            <w:rFonts w:ascii="宋体" w:hAnsi="宋体"/>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ind w:firstLine="360"/>
    </w:pPr>
  </w:p>
  <w:p>
    <w:pPr>
      <w:spacing w:before="120"/>
      <w:ind w:firstLine="480"/>
    </w:pPr>
  </w:p>
  <w:p>
    <w:pPr>
      <w:spacing w:before="120"/>
      <w:ind w:firstLine="480"/>
    </w:pPr>
  </w:p>
  <w:p>
    <w:pPr>
      <w:spacing w:before="120"/>
      <w:ind w:firstLine="480"/>
    </w:pPr>
  </w:p>
  <w:p>
    <w:pPr>
      <w:spacing w:before="120"/>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40" w:lineRule="auto"/>
      <w:ind w:firstLine="360"/>
      <w:rPr>
        <w:rFonts w:ascii="宋体" w:hAnsi="宋体" w:cs="宋体"/>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360"/>
    </w:pPr>
  </w:p>
  <w:p>
    <w:pPr>
      <w:spacing w:before="120"/>
      <w:ind w:firstLine="480"/>
    </w:pPr>
  </w:p>
  <w:p>
    <w:pPr>
      <w:spacing w:before="120"/>
      <w:ind w:firstLine="480"/>
    </w:pPr>
  </w:p>
  <w:p>
    <w:pPr>
      <w:spacing w:before="120"/>
      <w:ind w:firstLine="480"/>
    </w:pPr>
  </w:p>
  <w:p>
    <w:pPr>
      <w:spacing w:before="120"/>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5D71135"/>
    <w:multiLevelType w:val="multilevel"/>
    <w:tmpl w:val="15D71135"/>
    <w:lvl w:ilvl="0" w:tentative="0">
      <w:start w:val="1"/>
      <w:numFmt w:val="chineseCountingThousand"/>
      <w:pStyle w:val="2"/>
      <w:suff w:val="space"/>
      <w:lvlText w:val="第%1章"/>
      <w:lvlJc w:val="left"/>
      <w:pPr>
        <w:ind w:left="0" w:firstLine="0"/>
      </w:pPr>
      <w:rPr>
        <w:rFonts w:hint="eastAsia" w:eastAsia="宋体"/>
      </w:rPr>
    </w:lvl>
    <w:lvl w:ilvl="1" w:tentative="0">
      <w:start w:val="1"/>
      <w:numFmt w:val="chineseCountingThousand"/>
      <w:pStyle w:val="3"/>
      <w:suff w:val="space"/>
      <w:lvlText w:val="%2、"/>
      <w:lvlJc w:val="left"/>
      <w:pPr>
        <w:ind w:left="0" w:firstLine="0"/>
      </w:pPr>
      <w:rPr>
        <w:rFonts w:hint="eastAsia" w:eastAsia="宋体"/>
      </w:rPr>
    </w:lvl>
    <w:lvl w:ilvl="2" w:tentative="0">
      <w:start w:val="1"/>
      <w:numFmt w:val="decimal"/>
      <w:pStyle w:val="4"/>
      <w:suff w:val="space"/>
      <w:lvlText w:val="%3."/>
      <w:lvlJc w:val="left"/>
      <w:pPr>
        <w:ind w:left="0" w:firstLine="0"/>
      </w:pPr>
      <w:rPr>
        <w:rFonts w:hint="eastAsia" w:eastAsia="宋体"/>
      </w:rPr>
    </w:lvl>
    <w:lvl w:ilvl="3" w:tentative="0">
      <w:start w:val="1"/>
      <w:numFmt w:val="decimal"/>
      <w:pStyle w:val="5"/>
      <w:isLgl/>
      <w:suff w:val="space"/>
      <w:lvlText w:val="%1.%2.%3.%4"/>
      <w:lvlJc w:val="left"/>
      <w:pPr>
        <w:ind w:left="0" w:firstLine="0"/>
      </w:pPr>
      <w:rPr>
        <w:rFonts w:hint="eastAsia" w:eastAsia="宋体"/>
      </w:rPr>
    </w:lvl>
    <w:lvl w:ilvl="4" w:tentative="0">
      <w:start w:val="1"/>
      <w:numFmt w:val="decimal"/>
      <w:pStyle w:val="6"/>
      <w:isLgl/>
      <w:suff w:val="space"/>
      <w:lvlText w:val="%1.%2.%3.%4.%5"/>
      <w:lvlJc w:val="left"/>
      <w:pPr>
        <w:ind w:left="0" w:firstLine="0"/>
      </w:pPr>
      <w:rPr>
        <w:rFonts w:hint="eastAsia" w:eastAsia="宋体"/>
      </w:rPr>
    </w:lvl>
    <w:lvl w:ilvl="5" w:tentative="0">
      <w:start w:val="1"/>
      <w:numFmt w:val="decimal"/>
      <w:pStyle w:val="7"/>
      <w:isLgl/>
      <w:suff w:val="space"/>
      <w:lvlText w:val="%1.%2.%3.%4.%5.%6"/>
      <w:lvlJc w:val="left"/>
      <w:pPr>
        <w:ind w:left="0" w:firstLine="0"/>
      </w:pPr>
      <w:rPr>
        <w:rFonts w:hint="eastAsia" w:eastAsia="宋体"/>
      </w:rPr>
    </w:lvl>
    <w:lvl w:ilvl="6" w:tentative="0">
      <w:start w:val="1"/>
      <w:numFmt w:val="decimal"/>
      <w:pStyle w:val="8"/>
      <w:isLgl/>
      <w:suff w:val="space"/>
      <w:lvlText w:val="%1.%2.%3.%4.%5.%6.%7"/>
      <w:lvlJc w:val="left"/>
      <w:pPr>
        <w:ind w:left="0" w:firstLine="0"/>
      </w:pPr>
      <w:rPr>
        <w:rFonts w:hint="eastAsia" w:eastAsia="宋体"/>
      </w:rPr>
    </w:lvl>
    <w:lvl w:ilvl="7" w:tentative="0">
      <w:start w:val="1"/>
      <w:numFmt w:val="decimal"/>
      <w:pStyle w:val="9"/>
      <w:isLgl/>
      <w:suff w:val="space"/>
      <w:lvlText w:val="%1.%2.%3.%4.%5.%6.%7.%8"/>
      <w:lvlJc w:val="left"/>
      <w:pPr>
        <w:ind w:left="0" w:firstLine="0"/>
      </w:pPr>
      <w:rPr>
        <w:rFonts w:hint="eastAsia" w:eastAsia="宋体"/>
      </w:rPr>
    </w:lvl>
    <w:lvl w:ilvl="8" w:tentative="0">
      <w:start w:val="1"/>
      <w:numFmt w:val="decimal"/>
      <w:pStyle w:val="10"/>
      <w:isLgl/>
      <w:suff w:val="space"/>
      <w:lvlText w:val="%1.%2.%3.%4.%5.%6.%7.%8.%9"/>
      <w:lvlJc w:val="left"/>
      <w:pPr>
        <w:ind w:left="0" w:firstLine="0"/>
      </w:pPr>
      <w:rPr>
        <w:rFonts w:hint="eastAsia" w:eastAsia="宋体"/>
      </w:rPr>
    </w:lvl>
  </w:abstractNum>
  <w:abstractNum w:abstractNumId="2">
    <w:nsid w:val="1A58484B"/>
    <w:multiLevelType w:val="multilevel"/>
    <w:tmpl w:val="1A5848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C001FD"/>
    <w:multiLevelType w:val="multilevel"/>
    <w:tmpl w:val="1DC001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192F4C"/>
    <w:multiLevelType w:val="multilevel"/>
    <w:tmpl w:val="27192F4C"/>
    <w:lvl w:ilvl="0" w:tentative="0">
      <w:start w:val="1"/>
      <w:numFmt w:val="decimal"/>
      <w:lvlText w:val="%1"/>
      <w:lvlJc w:val="left"/>
      <w:pPr>
        <w:ind w:left="425" w:hanging="425"/>
      </w:pPr>
      <w:rPr>
        <w:rFonts w:hint="eastAsia"/>
      </w:rPr>
    </w:lvl>
    <w:lvl w:ilvl="1" w:tentative="0">
      <w:start w:val="1"/>
      <w:numFmt w:val="decimal"/>
      <w:pStyle w:val="50"/>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BBB5864"/>
    <w:multiLevelType w:val="multilevel"/>
    <w:tmpl w:val="5BBB5864"/>
    <w:lvl w:ilvl="0" w:tentative="0">
      <w:start w:val="1"/>
      <w:numFmt w:val="decimal"/>
      <w:pStyle w:val="5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37075C"/>
    <w:multiLevelType w:val="multilevel"/>
    <w:tmpl w:val="6E3707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D52F7B"/>
    <w:multiLevelType w:val="multilevel"/>
    <w:tmpl w:val="72D52F7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MTlhMWFiOWFiZDVhYzRjM2JlNTU5M2FkYWViMmYifQ=="/>
  </w:docVars>
  <w:rsids>
    <w:rsidRoot w:val="008574C7"/>
    <w:rsid w:val="0000747B"/>
    <w:rsid w:val="00013209"/>
    <w:rsid w:val="00017A21"/>
    <w:rsid w:val="00034FFB"/>
    <w:rsid w:val="00037DEB"/>
    <w:rsid w:val="000521DA"/>
    <w:rsid w:val="00070B97"/>
    <w:rsid w:val="000A1BDE"/>
    <w:rsid w:val="000A342E"/>
    <w:rsid w:val="000B0D39"/>
    <w:rsid w:val="000C4DEA"/>
    <w:rsid w:val="000C5AB4"/>
    <w:rsid w:val="000E6E0B"/>
    <w:rsid w:val="000E775C"/>
    <w:rsid w:val="000F7A53"/>
    <w:rsid w:val="00102F83"/>
    <w:rsid w:val="0010372C"/>
    <w:rsid w:val="00110E1A"/>
    <w:rsid w:val="00130CCE"/>
    <w:rsid w:val="00131B6A"/>
    <w:rsid w:val="001541AA"/>
    <w:rsid w:val="00160390"/>
    <w:rsid w:val="0016644F"/>
    <w:rsid w:val="001665AF"/>
    <w:rsid w:val="001668B6"/>
    <w:rsid w:val="00171621"/>
    <w:rsid w:val="00171C23"/>
    <w:rsid w:val="00190932"/>
    <w:rsid w:val="0019572A"/>
    <w:rsid w:val="00196AEC"/>
    <w:rsid w:val="001B6EDB"/>
    <w:rsid w:val="001D30EE"/>
    <w:rsid w:val="00200AA6"/>
    <w:rsid w:val="00214DC7"/>
    <w:rsid w:val="002229DC"/>
    <w:rsid w:val="0022563A"/>
    <w:rsid w:val="0024268B"/>
    <w:rsid w:val="00247582"/>
    <w:rsid w:val="00254F8B"/>
    <w:rsid w:val="00260156"/>
    <w:rsid w:val="00270D8A"/>
    <w:rsid w:val="002712DE"/>
    <w:rsid w:val="00273864"/>
    <w:rsid w:val="002927E0"/>
    <w:rsid w:val="00293396"/>
    <w:rsid w:val="00294303"/>
    <w:rsid w:val="002A20BC"/>
    <w:rsid w:val="002C3750"/>
    <w:rsid w:val="003150B7"/>
    <w:rsid w:val="0032218A"/>
    <w:rsid w:val="00351565"/>
    <w:rsid w:val="00351965"/>
    <w:rsid w:val="0035493A"/>
    <w:rsid w:val="00362CFE"/>
    <w:rsid w:val="00371F67"/>
    <w:rsid w:val="00392907"/>
    <w:rsid w:val="00393316"/>
    <w:rsid w:val="003A33F5"/>
    <w:rsid w:val="003A6350"/>
    <w:rsid w:val="003B10D1"/>
    <w:rsid w:val="003C1B8F"/>
    <w:rsid w:val="003C1C0D"/>
    <w:rsid w:val="003C2DEA"/>
    <w:rsid w:val="003C6FEA"/>
    <w:rsid w:val="003C73EA"/>
    <w:rsid w:val="003C74FF"/>
    <w:rsid w:val="003D434A"/>
    <w:rsid w:val="003E6403"/>
    <w:rsid w:val="003F057E"/>
    <w:rsid w:val="003F493D"/>
    <w:rsid w:val="00404ED8"/>
    <w:rsid w:val="00411C45"/>
    <w:rsid w:val="00415E7D"/>
    <w:rsid w:val="00426201"/>
    <w:rsid w:val="00432060"/>
    <w:rsid w:val="0043360F"/>
    <w:rsid w:val="00433A0A"/>
    <w:rsid w:val="004356BD"/>
    <w:rsid w:val="0044239F"/>
    <w:rsid w:val="00443746"/>
    <w:rsid w:val="004501E1"/>
    <w:rsid w:val="004552D5"/>
    <w:rsid w:val="00456396"/>
    <w:rsid w:val="004639BC"/>
    <w:rsid w:val="004639D2"/>
    <w:rsid w:val="004723B3"/>
    <w:rsid w:val="00472D40"/>
    <w:rsid w:val="004743E8"/>
    <w:rsid w:val="00476092"/>
    <w:rsid w:val="00485BC6"/>
    <w:rsid w:val="00491D62"/>
    <w:rsid w:val="00492E73"/>
    <w:rsid w:val="00495D8F"/>
    <w:rsid w:val="004A4B78"/>
    <w:rsid w:val="004A5273"/>
    <w:rsid w:val="004C2D00"/>
    <w:rsid w:val="004D3E50"/>
    <w:rsid w:val="004D6E09"/>
    <w:rsid w:val="004D7FB6"/>
    <w:rsid w:val="004E27FB"/>
    <w:rsid w:val="004E54EC"/>
    <w:rsid w:val="0050157A"/>
    <w:rsid w:val="005240A8"/>
    <w:rsid w:val="005605B7"/>
    <w:rsid w:val="0056271A"/>
    <w:rsid w:val="00582830"/>
    <w:rsid w:val="00583A72"/>
    <w:rsid w:val="005A4DCD"/>
    <w:rsid w:val="005D0313"/>
    <w:rsid w:val="005D6245"/>
    <w:rsid w:val="005F317C"/>
    <w:rsid w:val="0063152C"/>
    <w:rsid w:val="00677222"/>
    <w:rsid w:val="006904E7"/>
    <w:rsid w:val="00696D02"/>
    <w:rsid w:val="006A1BBD"/>
    <w:rsid w:val="006A1F22"/>
    <w:rsid w:val="006A42F8"/>
    <w:rsid w:val="006A4DE2"/>
    <w:rsid w:val="006B1F2B"/>
    <w:rsid w:val="006D2198"/>
    <w:rsid w:val="006E030A"/>
    <w:rsid w:val="006E3748"/>
    <w:rsid w:val="006F56EA"/>
    <w:rsid w:val="00710085"/>
    <w:rsid w:val="007102D4"/>
    <w:rsid w:val="00711B45"/>
    <w:rsid w:val="00721397"/>
    <w:rsid w:val="00722B61"/>
    <w:rsid w:val="007329A6"/>
    <w:rsid w:val="00736EF3"/>
    <w:rsid w:val="00746935"/>
    <w:rsid w:val="007516AF"/>
    <w:rsid w:val="007578B5"/>
    <w:rsid w:val="007857E9"/>
    <w:rsid w:val="007878B8"/>
    <w:rsid w:val="00794D45"/>
    <w:rsid w:val="00797868"/>
    <w:rsid w:val="007B4540"/>
    <w:rsid w:val="007E0727"/>
    <w:rsid w:val="00800B2C"/>
    <w:rsid w:val="00803A99"/>
    <w:rsid w:val="00811C34"/>
    <w:rsid w:val="008204BC"/>
    <w:rsid w:val="00830E4E"/>
    <w:rsid w:val="008574C7"/>
    <w:rsid w:val="008609DD"/>
    <w:rsid w:val="0086674E"/>
    <w:rsid w:val="00876EA5"/>
    <w:rsid w:val="00881A6D"/>
    <w:rsid w:val="008848B0"/>
    <w:rsid w:val="008904AD"/>
    <w:rsid w:val="008A07FC"/>
    <w:rsid w:val="008A13ED"/>
    <w:rsid w:val="008A36D1"/>
    <w:rsid w:val="008B58AA"/>
    <w:rsid w:val="008C6FC5"/>
    <w:rsid w:val="00903384"/>
    <w:rsid w:val="009036D3"/>
    <w:rsid w:val="00912F6B"/>
    <w:rsid w:val="00917F54"/>
    <w:rsid w:val="00931992"/>
    <w:rsid w:val="0097433B"/>
    <w:rsid w:val="00986226"/>
    <w:rsid w:val="009B654F"/>
    <w:rsid w:val="009C107E"/>
    <w:rsid w:val="009D0985"/>
    <w:rsid w:val="009D0CF4"/>
    <w:rsid w:val="009D51C8"/>
    <w:rsid w:val="009D70F2"/>
    <w:rsid w:val="009D72D7"/>
    <w:rsid w:val="009E353C"/>
    <w:rsid w:val="009E3864"/>
    <w:rsid w:val="009F15FE"/>
    <w:rsid w:val="00A13A51"/>
    <w:rsid w:val="00A16B8B"/>
    <w:rsid w:val="00A21733"/>
    <w:rsid w:val="00A26E4A"/>
    <w:rsid w:val="00A40D52"/>
    <w:rsid w:val="00A4327C"/>
    <w:rsid w:val="00A43E69"/>
    <w:rsid w:val="00A6729C"/>
    <w:rsid w:val="00A73EC2"/>
    <w:rsid w:val="00A748A6"/>
    <w:rsid w:val="00AA4BBD"/>
    <w:rsid w:val="00AC5195"/>
    <w:rsid w:val="00AD0BDE"/>
    <w:rsid w:val="00AE1C34"/>
    <w:rsid w:val="00AE79BD"/>
    <w:rsid w:val="00AF62F2"/>
    <w:rsid w:val="00B07988"/>
    <w:rsid w:val="00B16F09"/>
    <w:rsid w:val="00B26ECE"/>
    <w:rsid w:val="00B32C8B"/>
    <w:rsid w:val="00B353F5"/>
    <w:rsid w:val="00B43339"/>
    <w:rsid w:val="00B545E3"/>
    <w:rsid w:val="00B55D29"/>
    <w:rsid w:val="00B57BC8"/>
    <w:rsid w:val="00B57CAE"/>
    <w:rsid w:val="00B605B3"/>
    <w:rsid w:val="00B63E89"/>
    <w:rsid w:val="00B64998"/>
    <w:rsid w:val="00B8703E"/>
    <w:rsid w:val="00B91841"/>
    <w:rsid w:val="00B97F44"/>
    <w:rsid w:val="00BC05B2"/>
    <w:rsid w:val="00BC3C42"/>
    <w:rsid w:val="00BE2966"/>
    <w:rsid w:val="00BF4A11"/>
    <w:rsid w:val="00C0725F"/>
    <w:rsid w:val="00C17679"/>
    <w:rsid w:val="00C32931"/>
    <w:rsid w:val="00C523F5"/>
    <w:rsid w:val="00C55B24"/>
    <w:rsid w:val="00C56082"/>
    <w:rsid w:val="00C60AEA"/>
    <w:rsid w:val="00C679DB"/>
    <w:rsid w:val="00C720DE"/>
    <w:rsid w:val="00C87690"/>
    <w:rsid w:val="00C9520E"/>
    <w:rsid w:val="00C96BFB"/>
    <w:rsid w:val="00CA0C41"/>
    <w:rsid w:val="00CA2A09"/>
    <w:rsid w:val="00CB343B"/>
    <w:rsid w:val="00CC14BA"/>
    <w:rsid w:val="00CC6B71"/>
    <w:rsid w:val="00CC7313"/>
    <w:rsid w:val="00CE7C60"/>
    <w:rsid w:val="00CF3F2E"/>
    <w:rsid w:val="00D10354"/>
    <w:rsid w:val="00D11267"/>
    <w:rsid w:val="00D27A48"/>
    <w:rsid w:val="00D3490F"/>
    <w:rsid w:val="00D45488"/>
    <w:rsid w:val="00D53385"/>
    <w:rsid w:val="00D547C0"/>
    <w:rsid w:val="00D6357A"/>
    <w:rsid w:val="00D65D8C"/>
    <w:rsid w:val="00D7398F"/>
    <w:rsid w:val="00D84174"/>
    <w:rsid w:val="00D878A9"/>
    <w:rsid w:val="00DA5A4D"/>
    <w:rsid w:val="00DA7260"/>
    <w:rsid w:val="00DB15A6"/>
    <w:rsid w:val="00DB1DF6"/>
    <w:rsid w:val="00DB3B90"/>
    <w:rsid w:val="00DC358C"/>
    <w:rsid w:val="00DC3E00"/>
    <w:rsid w:val="00DC64B0"/>
    <w:rsid w:val="00DD3332"/>
    <w:rsid w:val="00DF7AB1"/>
    <w:rsid w:val="00E14A19"/>
    <w:rsid w:val="00E3538C"/>
    <w:rsid w:val="00E3746D"/>
    <w:rsid w:val="00E73CD2"/>
    <w:rsid w:val="00E77524"/>
    <w:rsid w:val="00E80A44"/>
    <w:rsid w:val="00E86C86"/>
    <w:rsid w:val="00E919E5"/>
    <w:rsid w:val="00EA2FCD"/>
    <w:rsid w:val="00EB3083"/>
    <w:rsid w:val="00EB36F3"/>
    <w:rsid w:val="00EC6ECA"/>
    <w:rsid w:val="00ED09D8"/>
    <w:rsid w:val="00ED19C7"/>
    <w:rsid w:val="00EE2426"/>
    <w:rsid w:val="00F2313F"/>
    <w:rsid w:val="00F36976"/>
    <w:rsid w:val="00F51083"/>
    <w:rsid w:val="00F53D99"/>
    <w:rsid w:val="00F64A7A"/>
    <w:rsid w:val="00F64E12"/>
    <w:rsid w:val="00F669F4"/>
    <w:rsid w:val="00F6705D"/>
    <w:rsid w:val="00F7713F"/>
    <w:rsid w:val="00F847B1"/>
    <w:rsid w:val="00F8753D"/>
    <w:rsid w:val="00F96F86"/>
    <w:rsid w:val="00FB111E"/>
    <w:rsid w:val="00FC5E7E"/>
    <w:rsid w:val="00FC728A"/>
    <w:rsid w:val="00FD42BB"/>
    <w:rsid w:val="00FD60AE"/>
    <w:rsid w:val="00FD6F8D"/>
    <w:rsid w:val="00FF04A3"/>
    <w:rsid w:val="00FF4554"/>
    <w:rsid w:val="05E73C3B"/>
    <w:rsid w:val="12B047A2"/>
    <w:rsid w:val="436E4F28"/>
    <w:rsid w:val="594A5873"/>
    <w:rsid w:val="714221AC"/>
    <w:rsid w:val="7FDB41D5"/>
    <w:rsid w:val="DFAB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after="120" w:line="480" w:lineRule="atLeast"/>
      <w:jc w:val="both"/>
    </w:pPr>
    <w:rPr>
      <w:rFonts w:eastAsia="宋体" w:asciiTheme="minorHAnsi" w:hAnsiTheme="minorHAnsi" w:cstheme="minorBidi"/>
      <w:kern w:val="2"/>
      <w:sz w:val="24"/>
      <w:szCs w:val="21"/>
      <w:lang w:val="en-US" w:eastAsia="zh-CN" w:bidi="ar-SA"/>
    </w:rPr>
  </w:style>
  <w:style w:type="paragraph" w:styleId="2">
    <w:name w:val="heading 1"/>
    <w:basedOn w:val="1"/>
    <w:next w:val="1"/>
    <w:link w:val="35"/>
    <w:qFormat/>
    <w:uiPriority w:val="9"/>
    <w:pPr>
      <w:keepNext/>
      <w:keepLines/>
      <w:pageBreakBefore/>
      <w:numPr>
        <w:ilvl w:val="0"/>
        <w:numId w:val="1"/>
      </w:numPr>
      <w:spacing w:after="150" w:afterLines="150"/>
      <w:jc w:val="center"/>
      <w:outlineLvl w:val="0"/>
    </w:pPr>
    <w:rPr>
      <w:b/>
      <w:bCs/>
      <w:kern w:val="44"/>
      <w:sz w:val="32"/>
      <w:szCs w:val="44"/>
    </w:rPr>
  </w:style>
  <w:style w:type="paragraph" w:styleId="3">
    <w:name w:val="heading 2"/>
    <w:basedOn w:val="1"/>
    <w:next w:val="1"/>
    <w:link w:val="36"/>
    <w:qFormat/>
    <w:uiPriority w:val="9"/>
    <w:pPr>
      <w:keepNext/>
      <w:keepLines/>
      <w:numPr>
        <w:ilvl w:val="1"/>
        <w:numId w:val="1"/>
      </w:numPr>
      <w:jc w:val="left"/>
      <w:outlineLvl w:val="1"/>
    </w:pPr>
    <w:rPr>
      <w:rFonts w:asciiTheme="majorHAnsi" w:hAnsiTheme="majorHAnsi" w:cstheme="majorBidi"/>
      <w:b/>
      <w:bCs/>
      <w:sz w:val="30"/>
      <w:szCs w:val="32"/>
    </w:rPr>
  </w:style>
  <w:style w:type="paragraph" w:styleId="4">
    <w:name w:val="heading 3"/>
    <w:basedOn w:val="1"/>
    <w:next w:val="1"/>
    <w:link w:val="37"/>
    <w:qFormat/>
    <w:uiPriority w:val="9"/>
    <w:pPr>
      <w:keepNext/>
      <w:keepLines/>
      <w:numPr>
        <w:ilvl w:val="2"/>
        <w:numId w:val="1"/>
      </w:numPr>
      <w:jc w:val="left"/>
      <w:outlineLvl w:val="2"/>
    </w:pPr>
    <w:rPr>
      <w:bCs/>
      <w:szCs w:val="32"/>
    </w:rPr>
  </w:style>
  <w:style w:type="paragraph" w:styleId="5">
    <w:name w:val="heading 4"/>
    <w:basedOn w:val="1"/>
    <w:next w:val="1"/>
    <w:link w:val="38"/>
    <w:qFormat/>
    <w:uiPriority w:val="9"/>
    <w:pPr>
      <w:keepNext/>
      <w:keepLines/>
      <w:numPr>
        <w:ilvl w:val="3"/>
        <w:numId w:val="1"/>
      </w:numPr>
      <w:outlineLvl w:val="3"/>
    </w:pPr>
    <w:rPr>
      <w:rFonts w:asciiTheme="majorHAnsi" w:hAnsiTheme="majorHAnsi" w:cstheme="majorBidi"/>
      <w:b/>
      <w:bCs/>
      <w:sz w:val="28"/>
      <w:szCs w:val="28"/>
    </w:rPr>
  </w:style>
  <w:style w:type="paragraph" w:styleId="6">
    <w:name w:val="heading 5"/>
    <w:basedOn w:val="1"/>
    <w:next w:val="1"/>
    <w:link w:val="39"/>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0"/>
    <w:qFormat/>
    <w:uiPriority w:val="9"/>
    <w:pPr>
      <w:keepNext/>
      <w:keepLines/>
      <w:numPr>
        <w:ilvl w:val="5"/>
        <w:numId w:val="1"/>
      </w:numPr>
      <w:outlineLvl w:val="5"/>
    </w:pPr>
    <w:rPr>
      <w:rFonts w:asciiTheme="majorHAnsi" w:hAnsiTheme="majorHAnsi" w:cstheme="majorBidi"/>
      <w:b/>
      <w:bCs/>
      <w:sz w:val="28"/>
      <w:szCs w:val="24"/>
    </w:rPr>
  </w:style>
  <w:style w:type="paragraph" w:styleId="8">
    <w:name w:val="heading 7"/>
    <w:basedOn w:val="1"/>
    <w:next w:val="1"/>
    <w:link w:val="41"/>
    <w:qFormat/>
    <w:uiPriority w:val="9"/>
    <w:pPr>
      <w:keepNext/>
      <w:keepLines/>
      <w:numPr>
        <w:ilvl w:val="6"/>
        <w:numId w:val="1"/>
      </w:numPr>
      <w:outlineLvl w:val="6"/>
    </w:pPr>
    <w:rPr>
      <w:b/>
      <w:bCs/>
      <w:szCs w:val="24"/>
    </w:rPr>
  </w:style>
  <w:style w:type="paragraph" w:styleId="9">
    <w:name w:val="heading 8"/>
    <w:basedOn w:val="1"/>
    <w:next w:val="1"/>
    <w:link w:val="42"/>
    <w:qFormat/>
    <w:uiPriority w:val="9"/>
    <w:pPr>
      <w:keepNext/>
      <w:keepLines/>
      <w:numPr>
        <w:ilvl w:val="7"/>
        <w:numId w:val="1"/>
      </w:numPr>
      <w:outlineLvl w:val="7"/>
    </w:pPr>
    <w:rPr>
      <w:rFonts w:asciiTheme="majorHAnsi" w:hAnsiTheme="majorHAnsi" w:cstheme="majorBidi"/>
      <w:szCs w:val="24"/>
    </w:rPr>
  </w:style>
  <w:style w:type="paragraph" w:styleId="10">
    <w:name w:val="heading 9"/>
    <w:basedOn w:val="1"/>
    <w:next w:val="1"/>
    <w:link w:val="43"/>
    <w:qFormat/>
    <w:uiPriority w:val="9"/>
    <w:pPr>
      <w:keepNext/>
      <w:keepLines/>
      <w:numPr>
        <w:ilvl w:val="8"/>
        <w:numId w:val="1"/>
      </w:numPr>
      <w:outlineLvl w:val="8"/>
    </w:pPr>
    <w:rPr>
      <w:rFonts w:asciiTheme="majorHAnsi" w:hAnsiTheme="majorHAnsi" w:cstheme="majorBidi"/>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Normal Indent"/>
    <w:basedOn w:val="1"/>
    <w:link w:val="64"/>
    <w:qFormat/>
    <w:uiPriority w:val="0"/>
    <w:pPr>
      <w:ind w:firstLine="420"/>
    </w:pPr>
    <w:rPr>
      <w:rFonts w:ascii="Times New Roman" w:hAnsi="Times New Roman" w:cs="Times New Roman"/>
      <w:szCs w:val="20"/>
    </w:rPr>
  </w:style>
  <w:style w:type="paragraph" w:styleId="13">
    <w:name w:val="Body Text"/>
    <w:basedOn w:val="1"/>
    <w:link w:val="46"/>
    <w:unhideWhenUsed/>
    <w:qFormat/>
    <w:uiPriority w:val="99"/>
    <w:pPr>
      <w:jc w:val="left"/>
    </w:pPr>
  </w:style>
  <w:style w:type="paragraph" w:styleId="14">
    <w:name w:val="Body Text Indent"/>
    <w:basedOn w:val="1"/>
    <w:link w:val="48"/>
    <w:semiHidden/>
    <w:unhideWhenUsed/>
    <w:qFormat/>
    <w:uiPriority w:val="99"/>
    <w:pPr>
      <w:ind w:left="420" w:leftChars="200"/>
    </w:pPr>
  </w:style>
  <w:style w:type="paragraph" w:styleId="15">
    <w:name w:val="toc 5"/>
    <w:basedOn w:val="1"/>
    <w:next w:val="1"/>
    <w:unhideWhenUsed/>
    <w:qFormat/>
    <w:uiPriority w:val="39"/>
    <w:pPr>
      <w:ind w:left="1680" w:leftChars="800"/>
    </w:pPr>
    <w:rPr>
      <w:szCs w:val="22"/>
    </w:rPr>
  </w:style>
  <w:style w:type="paragraph" w:styleId="16">
    <w:name w:val="toc 3"/>
    <w:basedOn w:val="1"/>
    <w:next w:val="1"/>
    <w:unhideWhenUsed/>
    <w:qFormat/>
    <w:uiPriority w:val="39"/>
    <w:pPr>
      <w:ind w:left="840" w:leftChars="400"/>
    </w:pPr>
  </w:style>
  <w:style w:type="paragraph" w:styleId="17">
    <w:name w:val="Plain Text"/>
    <w:basedOn w:val="1"/>
    <w:link w:val="44"/>
    <w:qFormat/>
    <w:uiPriority w:val="0"/>
    <w:pPr>
      <w:jc w:val="left"/>
    </w:pPr>
    <w:rPr>
      <w:rFonts w:ascii="宋体" w:hAnsi="Courier New" w:cs="Times New Roman"/>
      <w:szCs w:val="20"/>
    </w:rPr>
  </w:style>
  <w:style w:type="paragraph" w:styleId="18">
    <w:name w:val="toc 8"/>
    <w:basedOn w:val="1"/>
    <w:next w:val="1"/>
    <w:unhideWhenUsed/>
    <w:qFormat/>
    <w:uiPriority w:val="39"/>
    <w:pPr>
      <w:ind w:left="2940" w:leftChars="1400"/>
    </w:pPr>
    <w:rPr>
      <w:szCs w:val="22"/>
    </w:rPr>
  </w:style>
  <w:style w:type="paragraph" w:styleId="19">
    <w:name w:val="Date"/>
    <w:basedOn w:val="1"/>
    <w:next w:val="1"/>
    <w:link w:val="60"/>
    <w:semiHidden/>
    <w:unhideWhenUsed/>
    <w:qFormat/>
    <w:uiPriority w:val="99"/>
    <w:pPr>
      <w:ind w:left="100" w:leftChars="2500"/>
    </w:pPr>
  </w:style>
  <w:style w:type="paragraph" w:styleId="20">
    <w:name w:val="Balloon Text"/>
    <w:basedOn w:val="1"/>
    <w:link w:val="61"/>
    <w:semiHidden/>
    <w:unhideWhenUsed/>
    <w:qFormat/>
    <w:uiPriority w:val="99"/>
    <w:rPr>
      <w:sz w:val="18"/>
      <w:szCs w:val="18"/>
    </w:rPr>
  </w:style>
  <w:style w:type="paragraph" w:styleId="21">
    <w:name w:val="footer"/>
    <w:basedOn w:val="1"/>
    <w:link w:val="55"/>
    <w:unhideWhenUsed/>
    <w:qFormat/>
    <w:uiPriority w:val="99"/>
    <w:pPr>
      <w:tabs>
        <w:tab w:val="center" w:pos="4153"/>
        <w:tab w:val="right" w:pos="8306"/>
      </w:tabs>
      <w:snapToGrid w:val="0"/>
      <w:spacing w:line="240" w:lineRule="atLeast"/>
      <w:jc w:val="left"/>
    </w:pPr>
    <w:rPr>
      <w:sz w:val="18"/>
      <w:szCs w:val="18"/>
    </w:rPr>
  </w:style>
  <w:style w:type="paragraph" w:styleId="22">
    <w:name w:val="header"/>
    <w:basedOn w:val="1"/>
    <w:link w:val="5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ind w:left="1260" w:leftChars="600"/>
    </w:pPr>
    <w:rPr>
      <w:szCs w:val="22"/>
    </w:rPr>
  </w:style>
  <w:style w:type="paragraph" w:styleId="25">
    <w:name w:val="toc 6"/>
    <w:basedOn w:val="1"/>
    <w:next w:val="1"/>
    <w:unhideWhenUsed/>
    <w:qFormat/>
    <w:uiPriority w:val="39"/>
    <w:pPr>
      <w:ind w:left="2100" w:leftChars="1000"/>
    </w:pPr>
    <w:rPr>
      <w:szCs w:val="22"/>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rPr>
      <w:szCs w:val="22"/>
    </w:rPr>
  </w:style>
  <w:style w:type="paragraph" w:styleId="28">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29">
    <w:name w:val="Title"/>
    <w:basedOn w:val="1"/>
    <w:next w:val="1"/>
    <w:link w:val="58"/>
    <w:qFormat/>
    <w:uiPriority w:val="10"/>
    <w:rPr>
      <w:rFonts w:asciiTheme="majorHAnsi" w:hAnsiTheme="majorHAnsi" w:cstheme="majorBidi"/>
      <w:bCs/>
      <w:szCs w:val="32"/>
    </w:rPr>
  </w:style>
  <w:style w:type="paragraph" w:styleId="30">
    <w:name w:val="Body Text First Indent 2"/>
    <w:basedOn w:val="14"/>
    <w:link w:val="49"/>
    <w:semiHidden/>
    <w:unhideWhenUsed/>
    <w:qFormat/>
    <w:uiPriority w:val="99"/>
    <w:pPr>
      <w:ind w:firstLine="420" w:firstLineChars="200"/>
    </w:pPr>
  </w:style>
  <w:style w:type="table" w:styleId="32">
    <w:name w:val="Table Grid"/>
    <w:basedOn w:val="31"/>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unhideWhenUsed/>
    <w:qFormat/>
    <w:uiPriority w:val="99"/>
    <w:rPr>
      <w:color w:val="0563C1" w:themeColor="hyperlink"/>
      <w:u w:val="single"/>
      <w14:textFill>
        <w14:solidFill>
          <w14:schemeClr w14:val="hlink"/>
        </w14:solidFill>
      </w14:textFill>
    </w:rPr>
  </w:style>
  <w:style w:type="character" w:customStyle="1" w:styleId="35">
    <w:name w:val="标题 1 字符"/>
    <w:basedOn w:val="33"/>
    <w:link w:val="2"/>
    <w:qFormat/>
    <w:uiPriority w:val="9"/>
    <w:rPr>
      <w:rFonts w:eastAsia="宋体"/>
      <w:b/>
      <w:bCs/>
      <w:kern w:val="44"/>
      <w:sz w:val="32"/>
      <w:szCs w:val="44"/>
    </w:rPr>
  </w:style>
  <w:style w:type="character" w:customStyle="1" w:styleId="36">
    <w:name w:val="标题 2 字符"/>
    <w:basedOn w:val="33"/>
    <w:link w:val="3"/>
    <w:qFormat/>
    <w:uiPriority w:val="9"/>
    <w:rPr>
      <w:rFonts w:eastAsia="宋体" w:asciiTheme="majorHAnsi" w:hAnsiTheme="majorHAnsi" w:cstheme="majorBidi"/>
      <w:b/>
      <w:bCs/>
      <w:sz w:val="30"/>
      <w:szCs w:val="32"/>
    </w:rPr>
  </w:style>
  <w:style w:type="character" w:customStyle="1" w:styleId="37">
    <w:name w:val="标题 3 字符"/>
    <w:basedOn w:val="33"/>
    <w:link w:val="4"/>
    <w:qFormat/>
    <w:uiPriority w:val="9"/>
    <w:rPr>
      <w:rFonts w:eastAsia="宋体"/>
      <w:bCs/>
      <w:sz w:val="24"/>
      <w:szCs w:val="32"/>
    </w:rPr>
  </w:style>
  <w:style w:type="character" w:customStyle="1" w:styleId="38">
    <w:name w:val="标题 4 字符"/>
    <w:basedOn w:val="33"/>
    <w:link w:val="5"/>
    <w:qFormat/>
    <w:uiPriority w:val="9"/>
    <w:rPr>
      <w:rFonts w:eastAsia="宋体" w:asciiTheme="majorHAnsi" w:hAnsiTheme="majorHAnsi" w:cstheme="majorBidi"/>
      <w:b/>
      <w:bCs/>
      <w:sz w:val="28"/>
      <w:szCs w:val="28"/>
    </w:rPr>
  </w:style>
  <w:style w:type="character" w:customStyle="1" w:styleId="39">
    <w:name w:val="标题 5 字符"/>
    <w:basedOn w:val="33"/>
    <w:link w:val="6"/>
    <w:qFormat/>
    <w:uiPriority w:val="9"/>
    <w:rPr>
      <w:rFonts w:eastAsia="宋体"/>
      <w:b/>
      <w:bCs/>
      <w:sz w:val="28"/>
      <w:szCs w:val="28"/>
    </w:rPr>
  </w:style>
  <w:style w:type="character" w:customStyle="1" w:styleId="40">
    <w:name w:val="标题 6 字符"/>
    <w:basedOn w:val="33"/>
    <w:link w:val="7"/>
    <w:qFormat/>
    <w:uiPriority w:val="9"/>
    <w:rPr>
      <w:rFonts w:eastAsia="宋体" w:asciiTheme="majorHAnsi" w:hAnsiTheme="majorHAnsi" w:cstheme="majorBidi"/>
      <w:b/>
      <w:bCs/>
      <w:sz w:val="28"/>
      <w:szCs w:val="24"/>
    </w:rPr>
  </w:style>
  <w:style w:type="character" w:customStyle="1" w:styleId="41">
    <w:name w:val="标题 7 字符"/>
    <w:basedOn w:val="33"/>
    <w:link w:val="8"/>
    <w:qFormat/>
    <w:uiPriority w:val="9"/>
    <w:rPr>
      <w:rFonts w:eastAsia="宋体"/>
      <w:b/>
      <w:bCs/>
      <w:sz w:val="24"/>
      <w:szCs w:val="24"/>
    </w:rPr>
  </w:style>
  <w:style w:type="character" w:customStyle="1" w:styleId="42">
    <w:name w:val="标题 8 字符"/>
    <w:basedOn w:val="33"/>
    <w:link w:val="9"/>
    <w:qFormat/>
    <w:uiPriority w:val="9"/>
    <w:rPr>
      <w:rFonts w:eastAsia="宋体" w:asciiTheme="majorHAnsi" w:hAnsiTheme="majorHAnsi" w:cstheme="majorBidi"/>
      <w:sz w:val="24"/>
      <w:szCs w:val="24"/>
    </w:rPr>
  </w:style>
  <w:style w:type="character" w:customStyle="1" w:styleId="43">
    <w:name w:val="标题 9 字符"/>
    <w:basedOn w:val="33"/>
    <w:link w:val="10"/>
    <w:qFormat/>
    <w:uiPriority w:val="9"/>
    <w:rPr>
      <w:rFonts w:eastAsia="宋体" w:asciiTheme="majorHAnsi" w:hAnsiTheme="majorHAnsi" w:cstheme="majorBidi"/>
      <w:sz w:val="24"/>
    </w:rPr>
  </w:style>
  <w:style w:type="character" w:customStyle="1" w:styleId="44">
    <w:name w:val="纯文本 字符"/>
    <w:basedOn w:val="33"/>
    <w:link w:val="17"/>
    <w:qFormat/>
    <w:uiPriority w:val="0"/>
    <w:rPr>
      <w:rFonts w:ascii="宋体" w:hAnsi="Courier New" w:eastAsia="宋体" w:cs="Times New Roman"/>
      <w:sz w:val="24"/>
      <w:szCs w:val="20"/>
    </w:rPr>
  </w:style>
  <w:style w:type="paragraph" w:customStyle="1" w:styleId="45">
    <w:name w:val="È±Ê¡ÎÄ±¾"/>
    <w:basedOn w:val="1"/>
    <w:qFormat/>
    <w:uiPriority w:val="0"/>
    <w:pPr>
      <w:widowControl/>
      <w:overflowPunct w:val="0"/>
      <w:autoSpaceDE w:val="0"/>
      <w:autoSpaceDN w:val="0"/>
      <w:adjustRightInd w:val="0"/>
      <w:jc w:val="left"/>
      <w:textAlignment w:val="baseline"/>
    </w:pPr>
    <w:rPr>
      <w:rFonts w:ascii="Calibri" w:hAnsi="Calibri" w:cs="Times New Roman"/>
      <w:kern w:val="0"/>
      <w:szCs w:val="20"/>
    </w:rPr>
  </w:style>
  <w:style w:type="character" w:customStyle="1" w:styleId="46">
    <w:name w:val="正文文本 字符1"/>
    <w:link w:val="13"/>
    <w:qFormat/>
    <w:uiPriority w:val="99"/>
  </w:style>
  <w:style w:type="character" w:customStyle="1" w:styleId="47">
    <w:name w:val="正文文本 字符"/>
    <w:basedOn w:val="33"/>
    <w:semiHidden/>
    <w:qFormat/>
    <w:uiPriority w:val="99"/>
  </w:style>
  <w:style w:type="character" w:customStyle="1" w:styleId="48">
    <w:name w:val="正文文本缩进 字符"/>
    <w:basedOn w:val="33"/>
    <w:link w:val="14"/>
    <w:semiHidden/>
    <w:qFormat/>
    <w:uiPriority w:val="99"/>
  </w:style>
  <w:style w:type="character" w:customStyle="1" w:styleId="49">
    <w:name w:val="正文文本首行缩进 2 字符"/>
    <w:basedOn w:val="48"/>
    <w:link w:val="30"/>
    <w:semiHidden/>
    <w:qFormat/>
    <w:uiPriority w:val="99"/>
  </w:style>
  <w:style w:type="paragraph" w:customStyle="1" w:styleId="50">
    <w:name w:val="投标人实力"/>
    <w:basedOn w:val="1"/>
    <w:qFormat/>
    <w:uiPriority w:val="0"/>
    <w:pPr>
      <w:pageBreakBefore/>
      <w:numPr>
        <w:ilvl w:val="1"/>
        <w:numId w:val="2"/>
      </w:numPr>
      <w:outlineLvl w:val="1"/>
    </w:pPr>
    <w:rPr>
      <w:rFonts w:ascii="宋体" w:hAnsi="宋体"/>
      <w:b/>
      <w:bCs/>
    </w:rPr>
  </w:style>
  <w:style w:type="character" w:customStyle="1" w:styleId="51">
    <w:name w:val="列表段落 字符"/>
    <w:link w:val="52"/>
    <w:qFormat/>
    <w:locked/>
    <w:uiPriority w:val="34"/>
    <w:rPr>
      <w:sz w:val="24"/>
      <w:szCs w:val="24"/>
    </w:rPr>
  </w:style>
  <w:style w:type="paragraph" w:styleId="52">
    <w:name w:val="List Paragraph"/>
    <w:basedOn w:val="1"/>
    <w:link w:val="51"/>
    <w:qFormat/>
    <w:uiPriority w:val="34"/>
    <w:pPr>
      <w:ind w:firstLine="420" w:firstLineChars="200"/>
    </w:pPr>
    <w:rPr>
      <w:szCs w:val="24"/>
    </w:rPr>
  </w:style>
  <w:style w:type="paragraph" w:customStyle="1" w:styleId="53">
    <w:name w:val="无不良信用"/>
    <w:basedOn w:val="1"/>
    <w:qFormat/>
    <w:uiPriority w:val="0"/>
    <w:pPr>
      <w:numPr>
        <w:ilvl w:val="0"/>
        <w:numId w:val="3"/>
      </w:numPr>
      <w:jc w:val="left"/>
      <w:outlineLvl w:val="1"/>
    </w:pPr>
    <w:rPr>
      <w:b/>
      <w:bCs/>
    </w:rPr>
  </w:style>
  <w:style w:type="character" w:customStyle="1" w:styleId="54">
    <w:name w:val="页眉 字符"/>
    <w:basedOn w:val="33"/>
    <w:link w:val="22"/>
    <w:qFormat/>
    <w:uiPriority w:val="99"/>
    <w:rPr>
      <w:rFonts w:eastAsia="宋体"/>
      <w:sz w:val="18"/>
      <w:szCs w:val="18"/>
    </w:rPr>
  </w:style>
  <w:style w:type="character" w:customStyle="1" w:styleId="55">
    <w:name w:val="页脚 字符"/>
    <w:basedOn w:val="33"/>
    <w:link w:val="21"/>
    <w:qFormat/>
    <w:uiPriority w:val="99"/>
    <w:rPr>
      <w:rFonts w:eastAsia="宋体"/>
      <w:sz w:val="18"/>
      <w:szCs w:val="18"/>
    </w:rPr>
  </w:style>
  <w:style w:type="paragraph" w:customStyle="1" w:styleId="56">
    <w:name w:val="Char Char1 Char Char Char Char Char Char Char Char1"/>
    <w:basedOn w:val="1"/>
    <w:qFormat/>
    <w:uiPriority w:val="99"/>
    <w:pPr>
      <w:widowControl/>
      <w:tabs>
        <w:tab w:val="left" w:pos="425"/>
      </w:tabs>
      <w:spacing w:line="240" w:lineRule="exact"/>
    </w:pPr>
    <w:rPr>
      <w:rFonts w:ascii="Arial" w:hAnsi="Arial" w:cs="Arial"/>
      <w:szCs w:val="24"/>
      <w:lang w:eastAsia="en-US"/>
    </w:rPr>
  </w:style>
  <w:style w:type="table" w:customStyle="1" w:styleId="57">
    <w:name w:val="Table Normal"/>
    <w:semiHidden/>
    <w:unhideWhenUsed/>
    <w:qFormat/>
    <w:uiPriority w:val="2"/>
    <w:pPr>
      <w:widowControl w:val="0"/>
    </w:pPr>
    <w:rPr>
      <w:rFonts w:ascii="Arial" w:hAnsi="Arial" w:eastAsia="宋体" w:cs="Arial"/>
      <w:sz w:val="22"/>
      <w:lang w:eastAsia="en-US"/>
    </w:rPr>
    <w:tblPr>
      <w:tblCellMar>
        <w:top w:w="0" w:type="dxa"/>
        <w:left w:w="0" w:type="dxa"/>
        <w:bottom w:w="0" w:type="dxa"/>
        <w:right w:w="0" w:type="dxa"/>
      </w:tblCellMar>
    </w:tblPr>
  </w:style>
  <w:style w:type="character" w:customStyle="1" w:styleId="58">
    <w:name w:val="标题 字符"/>
    <w:basedOn w:val="33"/>
    <w:link w:val="29"/>
    <w:qFormat/>
    <w:uiPriority w:val="10"/>
    <w:rPr>
      <w:rFonts w:eastAsia="宋体" w:asciiTheme="majorHAnsi" w:hAnsiTheme="majorHAnsi" w:cstheme="majorBidi"/>
      <w:bCs/>
      <w:sz w:val="24"/>
      <w:szCs w:val="32"/>
    </w:rPr>
  </w:style>
  <w:style w:type="paragraph" w:customStyle="1" w:styleId="59">
    <w:name w:val="TOC 标题1"/>
    <w:basedOn w:val="2"/>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60">
    <w:name w:val="日期 字符"/>
    <w:basedOn w:val="33"/>
    <w:link w:val="19"/>
    <w:semiHidden/>
    <w:qFormat/>
    <w:uiPriority w:val="99"/>
  </w:style>
  <w:style w:type="character" w:customStyle="1" w:styleId="61">
    <w:name w:val="批注框文本 字符"/>
    <w:basedOn w:val="33"/>
    <w:link w:val="20"/>
    <w:semiHidden/>
    <w:qFormat/>
    <w:uiPriority w:val="99"/>
    <w:rPr>
      <w:sz w:val="18"/>
      <w:szCs w:val="18"/>
    </w:rPr>
  </w:style>
  <w:style w:type="paragraph" w:customStyle="1" w:styleId="62">
    <w:name w:val="Table Paragraph"/>
    <w:basedOn w:val="1"/>
    <w:qFormat/>
    <w:uiPriority w:val="1"/>
    <w:pPr>
      <w:autoSpaceDE w:val="0"/>
      <w:autoSpaceDN w:val="0"/>
      <w:spacing w:before="0" w:after="0" w:line="240" w:lineRule="auto"/>
      <w:jc w:val="left"/>
    </w:pPr>
    <w:rPr>
      <w:rFonts w:ascii="宋体" w:hAnsi="宋体" w:cs="宋体"/>
      <w:kern w:val="0"/>
      <w:sz w:val="22"/>
      <w:szCs w:val="22"/>
      <w:lang w:eastAsia="en-US"/>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正文缩进 字符"/>
    <w:link w:val="12"/>
    <w:qFormat/>
    <w:uiPriority w:val="0"/>
    <w:rPr>
      <w:rFonts w:ascii="Times New Roman" w:hAnsi="Times New Roman" w:eastAsia="宋体" w:cs="Times New Roman"/>
      <w:sz w:val="24"/>
      <w:szCs w:val="20"/>
    </w:rPr>
  </w:style>
  <w:style w:type="paragraph" w:customStyle="1" w:styleId="65">
    <w:name w:val="国标3级"/>
    <w:basedOn w:val="1"/>
    <w:semiHidden/>
    <w:qFormat/>
    <w:uiPriority w:val="0"/>
    <w:pPr>
      <w:snapToGrid w:val="0"/>
      <w:spacing w:before="0" w:after="0" w:line="312" w:lineRule="exact"/>
    </w:pPr>
    <w:rPr>
      <w:rFonts w:ascii="宋体" w:hAnsi="宋体" w:cs="Times New Roman"/>
      <w:color w:val="00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23</Pages>
  <Words>1739</Words>
  <Characters>9916</Characters>
  <Lines>82</Lines>
  <Paragraphs>23</Paragraphs>
  <TotalTime>24</TotalTime>
  <ScaleCrop>false</ScaleCrop>
  <LinksUpToDate>false</LinksUpToDate>
  <CharactersWithSpaces>11632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2020-10-08T14:39:00Z</dcterms:created>
  <dc:creator>office</dc:creator>
  <cp:lastModifiedBy>hss</cp:lastModifiedBy>
  <cp:lastPrinted>2020-10-12T14:55:00Z</cp:lastPrinted>
  <dcterms:modified xsi:type="dcterms:W3CDTF">2023-12-11T12:59:12Z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C828631BD78B40DCBE63552ABF6CC699_13</vt:lpwstr>
  </property>
</Properties>
</file>