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Simsun" w:hAnsi="Simsun" w:eastAsia="Simsun" w:cs="Simsun"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Simsun" w:hAnsi="Simsun" w:eastAsia="Simsun" w:cs="Simsun"/>
          <w:i w:val="0"/>
          <w:caps w:val="0"/>
          <w:color w:val="333333"/>
          <w:spacing w:val="0"/>
          <w:sz w:val="36"/>
          <w:szCs w:val="36"/>
          <w:shd w:val="clear" w:fill="FFFFFF"/>
        </w:rPr>
        <w:t>关于建立黄山市招商引资项目周日研判调度会机制的通知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center"/>
        <w:rPr>
          <w:rFonts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</w:rPr>
        <w:t>黄</w:t>
      </w:r>
      <w:r>
        <w:rPr>
          <w:rFonts w:hint="eastAsia" w:ascii="仿宋_GB2312" w:eastAsia="仿宋_GB2312"/>
          <w:sz w:val="32"/>
          <w:szCs w:val="32"/>
          <w:lang w:eastAsia="zh-CN"/>
        </w:rPr>
        <w:t>双招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双引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both"/>
        <w:rPr>
          <w:rFonts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both"/>
        <w:rPr>
          <w:rFonts w:ascii="Calibri" w:hAnsi="Calibri" w:cs="Calibri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各区县委、区县人民政府，黄山风景区管委会，黄山高新区管委会，黄山现代服务业产业园管委会，市直各局以上单位：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为进一步贯彻落实“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148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”双招双引工作机制，科学研判招商线索，高效推进重点项目，加快项目落地进程，经研究，现就建立招商引资项目周日研判调度会机制通知如下。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参加范围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招商引资项目研判调度会原则上由市政府市长每周日主持召开，市“双招双引”工作领导小组成员根据项目需要参加，适时安排市纪委等党委有关部门参会。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二、调度内容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招商项目研判调度实行“</w:t>
      </w:r>
      <w:r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137</w:t>
      </w:r>
      <w:r>
        <w:rPr>
          <w:rFonts w:hint="eastAsia" w:ascii="仿宋_GB2312" w:hAnsi="Calibri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”工作法：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方正楷体_GBK" w:hAnsi="方正楷体_GBK" w:eastAsia="方正楷体_GBK" w:cs="方正楷体_GBK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（一）完成初步研判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市投资促进局、各招商小组获取招商线索后，根据产业契合度精准推送相关区县、园区、国企和基金管理团队，</w:t>
      </w:r>
      <w:r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天左右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由承接单位会同市投资促进局、基金招商专班等联合开展项目研判，确定项目是否跟进。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（二）跟进对接项目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初步研判后，承接单位原则上</w:t>
      </w:r>
      <w:r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天左右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通过视频会议、登门拜访、邀请考察、委托第三方机构调查等方式与企业对接，摸清企业情况、企业投资诉求和项目效益</w:t>
      </w:r>
      <w:r>
        <w:rPr>
          <w:rFonts w:ascii="楷体_GB2312" w:hAnsi="Calibri" w:eastAsia="楷体_GB2312" w:cs="楷体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（如产值营收、税收、利润解决就业、引进人才等）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等，包括企业背景</w:t>
      </w:r>
      <w:r>
        <w:rPr>
          <w:rFonts w:hint="eastAsia" w:ascii="楷体_GB2312" w:hAnsi="Calibri" w:eastAsia="楷体_GB2312" w:cs="楷体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（行业地位、主要产品、产值营收、利润、纳税、股权、融资等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）、项目基本情况</w:t>
      </w:r>
      <w:r>
        <w:rPr>
          <w:rFonts w:hint="eastAsia" w:ascii="楷体_GB2312" w:hAnsi="Calibri" w:eastAsia="楷体_GB2312" w:cs="楷体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（项目名称、投资方、投资规模、建设内容、建设周期等）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、产业背景</w:t>
      </w:r>
      <w:r>
        <w:rPr>
          <w:rFonts w:hint="eastAsia" w:ascii="楷体_GB2312" w:hAnsi="Calibri" w:eastAsia="楷体_GB2312" w:cs="楷体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（项目所属产业的市场前景、发展趋势、竞争格局等）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、技术可行性</w:t>
      </w:r>
      <w:r>
        <w:rPr>
          <w:rFonts w:hint="eastAsia" w:ascii="楷体_GB2312" w:hAnsi="Calibri" w:eastAsia="楷体_GB2312" w:cs="楷体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（评估项目所需技术的成熟度、可靠性、先进性等）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、运营盈利模式（</w:t>
      </w:r>
      <w:r>
        <w:rPr>
          <w:rFonts w:hint="eastAsia" w:ascii="楷体_GB2312" w:hAnsi="Calibri" w:eastAsia="楷体_GB2312" w:cs="楷体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预测项目的投资回报率等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）、经济效益</w:t>
      </w:r>
      <w:r>
        <w:rPr>
          <w:rFonts w:hint="eastAsia" w:ascii="楷体_GB2312" w:hAnsi="Calibri" w:eastAsia="楷体_GB2312" w:cs="楷体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（预测项目的产值营收、税收、利润等经济指标）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、社会效益</w:t>
      </w:r>
      <w:r>
        <w:rPr>
          <w:rFonts w:hint="eastAsia" w:ascii="楷体_GB2312" w:hAnsi="Calibri" w:eastAsia="楷体_GB2312" w:cs="楷体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（评估项目对当地就业、人才、环境等方面的影响）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（三）开展项目谈判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对于建议跟进的项目，承接单位会同国企、基金招商专班成立项目洽谈小组，</w:t>
      </w:r>
      <w:r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eastAsia" w:ascii="仿宋_GB2312" w:hAnsi="Calibri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天左右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初步完成与投资方落地谈判，并将对接情况填写《招商引资项目研判情况一览表》报市投资促进局汇总，注明需提请会议研究事项。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（四）提请会议调度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召开招商引资项目周日研判调度会：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仿宋_GB2312" w:hAnsi="Calibri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通报情况。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每周根据工作需要，围绕区县招商引资指标、各招商小组工作开展、重点在库招商项目推进等情况通报进展。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仿宋_GB2312" w:hAnsi="Calibri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研究项目。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市投资促进局定期汇总各承接单位需市级层面协调调度事项，由相关区县、园区和国企进行汇报，市投资促进局、“四位一体”相关单位结合自身职责补充汇报，形成项目推进意见。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eastAsia" w:ascii="仿宋_GB2312" w:hAnsi="Calibri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调度后进。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原则上每月招商引资指标排名靠后的区县、推进项目较慢的单位作表态发言。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三、有关要求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1. 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各地各单位要即时报送招商线索研判、项目谈判、需调度事项等情况，信息及时性和质量纳入年度招商引资考核。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2. 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市投资促进局根据工作情况提出每周研究事项。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3. 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市投资促进局根据招商项目研判调度会意见，及时交办相关单位，并督促落实。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黄山市“双招双引”工作领导小组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</w:t>
      </w:r>
      <w:r>
        <w:rPr>
          <w:rFonts w:hint="eastAsia" w:ascii="仿宋_GB2312" w:hAnsi="Calibri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        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2024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12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pacing w:before="117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招商引资项目研判情况一览表</w:t>
      </w:r>
    </w:p>
    <w:p>
      <w:pPr>
        <w:keepNext w:val="0"/>
        <w:keepLines w:val="0"/>
        <w:widowControl/>
        <w:suppressLineNumbers w:val="0"/>
        <w:spacing w:before="117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项目来源：（**单位推荐）</w:t>
      </w:r>
    </w:p>
    <w:tbl>
      <w:tblPr>
        <w:tblW w:w="95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5"/>
        <w:gridCol w:w="1336"/>
        <w:gridCol w:w="1291"/>
        <w:gridCol w:w="1396"/>
        <w:gridCol w:w="905"/>
        <w:gridCol w:w="533"/>
        <w:gridCol w:w="17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49D9D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402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1131" w:right="0"/>
              <w:jc w:val="center"/>
            </w:pPr>
            <w:r>
              <w:rPr>
                <w:rFonts w:hint="default" w:ascii="Times New Roman" w:hAnsi="Times New Roman" w:cs="Times New Roman"/>
                <w:color w:val="A49D9D"/>
                <w:sz w:val="24"/>
                <w:szCs w:val="24"/>
              </w:rPr>
              <w:t> </w:t>
            </w:r>
          </w:p>
        </w:tc>
        <w:tc>
          <w:tcPr>
            <w:tcW w:w="143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49D9D"/>
                <w:spacing w:val="-3"/>
                <w:sz w:val="24"/>
                <w:szCs w:val="24"/>
              </w:rPr>
              <w:t>拟投资额</w:t>
            </w:r>
          </w:p>
        </w:tc>
        <w:tc>
          <w:tcPr>
            <w:tcW w:w="17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228" w:right="0"/>
              <w:jc w:val="center"/>
            </w:pPr>
            <w:r>
              <w:rPr>
                <w:rFonts w:hint="default" w:ascii="Times New Roman" w:hAnsi="Times New Roman" w:cs="Times New Roman"/>
                <w:color w:val="A49D9D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49D9D"/>
                <w:spacing w:val="-3"/>
                <w:sz w:val="24"/>
                <w:szCs w:val="24"/>
              </w:rPr>
              <w:t>投资方</w:t>
            </w:r>
          </w:p>
        </w:tc>
        <w:tc>
          <w:tcPr>
            <w:tcW w:w="40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1131" w:right="0"/>
              <w:jc w:val="center"/>
            </w:pPr>
            <w:r>
              <w:rPr>
                <w:rFonts w:hint="default" w:ascii="Times New Roman" w:hAnsi="Times New Roman" w:cs="Times New Roman"/>
                <w:color w:val="A49D9D"/>
                <w:sz w:val="24"/>
                <w:szCs w:val="24"/>
              </w:rPr>
              <w:t> 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228" w:right="0"/>
              <w:jc w:val="both"/>
            </w:pPr>
            <w:r>
              <w:rPr>
                <w:rFonts w:hint="eastAsia" w:ascii="宋体" w:hAnsi="宋体" w:eastAsia="宋体" w:cs="宋体"/>
                <w:color w:val="A49D9D"/>
                <w:spacing w:val="-3"/>
                <w:sz w:val="24"/>
                <w:szCs w:val="24"/>
              </w:rPr>
              <w:t>注册资本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228" w:right="0"/>
              <w:jc w:val="center"/>
            </w:pPr>
            <w:r>
              <w:rPr>
                <w:rFonts w:hint="eastAsia" w:ascii="宋体" w:hAnsi="宋体" w:eastAsia="宋体" w:cs="宋体"/>
                <w:color w:val="A49D9D"/>
                <w:sz w:val="24"/>
                <w:szCs w:val="24"/>
              </w:rPr>
              <w:t>    万元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49D9D"/>
                <w:spacing w:val="-3"/>
                <w:sz w:val="24"/>
                <w:szCs w:val="24"/>
              </w:rPr>
              <w:t>企业简介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ascii="Arial Unicode MS" w:hAnsi="Arial Unicode MS" w:eastAsia="Arial Unicode MS" w:cs="Arial Unicode MS"/>
                <w:color w:val="A49D9D"/>
                <w:sz w:val="21"/>
                <w:szCs w:val="21"/>
              </w:rPr>
              <w:t>（行业地位、主要产品、上年产值或营收、利润、纳税等）</w:t>
            </w:r>
          </w:p>
        </w:tc>
        <w:tc>
          <w:tcPr>
            <w:tcW w:w="724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106" w:right="0"/>
              <w:jc w:val="center"/>
            </w:pPr>
            <w:r>
              <w:rPr>
                <w:rFonts w:hint="default" w:ascii="Times New Roman" w:hAnsi="Times New Roman" w:cs="Times New Roman"/>
                <w:color w:val="A49D9D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49D9D"/>
                <w:spacing w:val="-3"/>
                <w:sz w:val="24"/>
                <w:szCs w:val="24"/>
              </w:rPr>
              <w:t>企业股权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 w:firstLine="234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A49D9D"/>
                <w:spacing w:val="-3"/>
                <w:sz w:val="24"/>
                <w:szCs w:val="24"/>
              </w:rPr>
              <w:t>及融资情况</w:t>
            </w:r>
          </w:p>
        </w:tc>
        <w:tc>
          <w:tcPr>
            <w:tcW w:w="724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168"/>
              <w:jc w:val="center"/>
            </w:pPr>
            <w:r>
              <w:rPr>
                <w:rFonts w:hint="default" w:ascii="Times New Roman" w:hAnsi="Times New Roman" w:cs="Times New Roman"/>
                <w:color w:val="A49D9D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49D9D"/>
                <w:spacing w:val="-3"/>
                <w:sz w:val="24"/>
                <w:szCs w:val="24"/>
              </w:rPr>
              <w:t>企业负面舆情</w:t>
            </w:r>
          </w:p>
        </w:tc>
        <w:tc>
          <w:tcPr>
            <w:tcW w:w="724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49D9D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103" w:right="0"/>
              <w:jc w:val="center"/>
            </w:pPr>
            <w:r>
              <w:rPr>
                <w:rFonts w:hint="default" w:ascii="Times New Roman" w:hAnsi="Times New Roman" w:cs="Times New Roman"/>
                <w:color w:val="A49D9D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22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49D9D"/>
                <w:spacing w:val="-3"/>
                <w:sz w:val="24"/>
                <w:szCs w:val="24"/>
              </w:rPr>
              <w:t>项目基本情况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default" w:ascii="Arial Unicode MS" w:hAnsi="Arial Unicode MS" w:eastAsia="Arial Unicode MS" w:cs="Arial Unicode MS"/>
                <w:color w:val="A49D9D"/>
                <w:sz w:val="21"/>
                <w:szCs w:val="21"/>
              </w:rPr>
              <w:t>（投资规模、用地建设内容、建设周期、预测产值营收、税收、 就业、人才等）</w:t>
            </w:r>
          </w:p>
        </w:tc>
        <w:tc>
          <w:tcPr>
            <w:tcW w:w="724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103" w:right="0"/>
              <w:jc w:val="center"/>
            </w:pPr>
            <w:r>
              <w:rPr>
                <w:rFonts w:hint="default" w:ascii="Times New Roman" w:hAnsi="Times New Roman" w:cs="Times New Roman"/>
                <w:color w:val="A49D9D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22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49D9D"/>
                <w:spacing w:val="-2"/>
                <w:sz w:val="24"/>
                <w:szCs w:val="24"/>
              </w:rPr>
              <w:t>产值或营收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49D9D"/>
                <w:spacing w:val="-2"/>
                <w:sz w:val="24"/>
                <w:szCs w:val="24"/>
              </w:rPr>
              <w:t>税收</w:t>
            </w:r>
          </w:p>
        </w:tc>
        <w:tc>
          <w:tcPr>
            <w:tcW w:w="23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49D9D"/>
                <w:spacing w:val="-2"/>
                <w:sz w:val="24"/>
                <w:szCs w:val="24"/>
              </w:rPr>
              <w:t>就业、引进人才</w:t>
            </w:r>
          </w:p>
        </w:tc>
        <w:tc>
          <w:tcPr>
            <w:tcW w:w="23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49D9D"/>
                <w:spacing w:val="-2"/>
                <w:sz w:val="24"/>
                <w:szCs w:val="24"/>
              </w:rPr>
              <w:t>利润（需国企投资时）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22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551" w:right="0"/>
              <w:jc w:val="both"/>
            </w:pPr>
            <w:r>
              <w:rPr>
                <w:rFonts w:hint="default" w:ascii="Times New Roman" w:hAnsi="Times New Roman" w:cs="Times New Roman"/>
                <w:color w:val="A49D9D"/>
                <w:spacing w:val="-2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551" w:right="0"/>
              <w:jc w:val="both"/>
            </w:pPr>
            <w:r>
              <w:rPr>
                <w:rFonts w:hint="default" w:ascii="Times New Roman" w:hAnsi="Times New Roman" w:cs="Times New Roman"/>
                <w:color w:val="A49D9D"/>
                <w:spacing w:val="-2"/>
                <w:sz w:val="24"/>
                <w:szCs w:val="24"/>
              </w:rPr>
              <w:t> 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551" w:right="0"/>
              <w:jc w:val="both"/>
            </w:pPr>
            <w:r>
              <w:rPr>
                <w:rFonts w:hint="default" w:ascii="Times New Roman" w:hAnsi="Times New Roman" w:cs="Times New Roman"/>
                <w:color w:val="A49D9D"/>
                <w:spacing w:val="-2"/>
                <w:sz w:val="24"/>
                <w:szCs w:val="24"/>
              </w:rPr>
              <w:t> 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551" w:right="0"/>
              <w:jc w:val="both"/>
            </w:pPr>
            <w:r>
              <w:rPr>
                <w:rFonts w:hint="default" w:ascii="Times New Roman" w:hAnsi="Times New Roman" w:cs="Times New Roman"/>
                <w:color w:val="A49D9D"/>
                <w:spacing w:val="-2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229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49D9D"/>
                <w:spacing w:val="-3"/>
                <w:sz w:val="24"/>
                <w:szCs w:val="24"/>
              </w:rPr>
              <w:t>企业需求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883" w:right="0"/>
              <w:jc w:val="both"/>
            </w:pPr>
            <w:r>
              <w:rPr>
                <w:rFonts w:hint="eastAsia" w:ascii="宋体" w:hAnsi="宋体" w:eastAsia="宋体" w:cs="宋体"/>
                <w:color w:val="A49D9D"/>
                <w:spacing w:val="-4"/>
                <w:sz w:val="24"/>
                <w:szCs w:val="24"/>
              </w:rPr>
              <w:t>资金需求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49D9D"/>
                <w:spacing w:val="-2"/>
                <w:sz w:val="24"/>
                <w:szCs w:val="24"/>
              </w:rPr>
              <w:t>政策需求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49D9D"/>
                <w:spacing w:val="-2"/>
                <w:sz w:val="24"/>
                <w:szCs w:val="24"/>
              </w:rPr>
              <w:t>场地需求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229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158" w:right="0"/>
              <w:jc w:val="center"/>
            </w:pPr>
            <w:r>
              <w:rPr>
                <w:rFonts w:hint="default" w:ascii="Times New Roman" w:hAnsi="Times New Roman" w:cs="Times New Roman"/>
                <w:color w:val="A49D9D"/>
                <w:sz w:val="24"/>
                <w:szCs w:val="24"/>
              </w:rPr>
              <w:t> 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135" w:right="0"/>
              <w:jc w:val="center"/>
            </w:pPr>
            <w:r>
              <w:rPr>
                <w:rFonts w:hint="default" w:ascii="Times New Roman" w:hAnsi="Times New Roman" w:cs="Times New Roman"/>
                <w:color w:val="A49D9D"/>
                <w:sz w:val="24"/>
                <w:szCs w:val="24"/>
              </w:rPr>
              <w:t> 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159" w:right="0"/>
              <w:jc w:val="center"/>
            </w:pPr>
            <w:r>
              <w:rPr>
                <w:rFonts w:hint="default" w:ascii="Times New Roman" w:hAnsi="Times New Roman" w:cs="Times New Roman"/>
                <w:color w:val="A49D9D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49D9D"/>
                <w:spacing w:val="-1"/>
                <w:sz w:val="24"/>
                <w:szCs w:val="24"/>
              </w:rPr>
              <w:t>项目亮点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default" w:ascii="Arial Unicode MS" w:hAnsi="Arial Unicode MS" w:eastAsia="Arial Unicode MS" w:cs="Arial Unicode MS"/>
                <w:color w:val="A49D9D"/>
                <w:sz w:val="21"/>
                <w:szCs w:val="21"/>
              </w:rPr>
              <w:t>（市场前景、技术可行性分析等）</w:t>
            </w:r>
          </w:p>
        </w:tc>
        <w:tc>
          <w:tcPr>
            <w:tcW w:w="724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103" w:right="104" w:firstLine="3"/>
              <w:jc w:val="center"/>
            </w:pPr>
            <w:r>
              <w:rPr>
                <w:rFonts w:hint="default" w:ascii="Times New Roman" w:hAnsi="Times New Roman" w:cs="Times New Roman"/>
                <w:color w:val="A49D9D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  <w:jc w:val="center"/>
        </w:trPr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49D9D"/>
                <w:spacing w:val="-1"/>
                <w:sz w:val="24"/>
                <w:szCs w:val="24"/>
              </w:rPr>
              <w:t>潜在风险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49D9D"/>
                <w:spacing w:val="-1"/>
                <w:sz w:val="24"/>
                <w:szCs w:val="24"/>
              </w:rPr>
              <w:t>或需进一步了解</w:t>
            </w:r>
          </w:p>
        </w:tc>
        <w:tc>
          <w:tcPr>
            <w:tcW w:w="724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60" w:lineRule="atLeast"/>
              <w:ind w:left="103" w:right="104" w:firstLine="3"/>
              <w:jc w:val="center"/>
            </w:pPr>
            <w:r>
              <w:rPr>
                <w:rFonts w:hint="default" w:ascii="Times New Roman" w:hAnsi="Times New Roman" w:cs="Times New Roman"/>
                <w:color w:val="A49D9D"/>
                <w:spacing w:val="-2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49D9D"/>
                <w:spacing w:val="-4"/>
                <w:sz w:val="24"/>
                <w:szCs w:val="24"/>
              </w:rPr>
              <w:t>对接情况</w:t>
            </w:r>
          </w:p>
        </w:tc>
        <w:tc>
          <w:tcPr>
            <w:tcW w:w="724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49D9D"/>
                <w:spacing w:val="-4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49D9D"/>
                <w:spacing w:val="-4"/>
                <w:sz w:val="24"/>
                <w:szCs w:val="24"/>
              </w:rPr>
              <w:t>建议</w:t>
            </w:r>
          </w:p>
        </w:tc>
        <w:tc>
          <w:tcPr>
            <w:tcW w:w="724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49D9D"/>
                <w:spacing w:val="-4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2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49D9D"/>
                <w:spacing w:val="-4"/>
                <w:sz w:val="24"/>
                <w:szCs w:val="24"/>
              </w:rPr>
              <w:t>提请研究事项</w:t>
            </w:r>
          </w:p>
        </w:tc>
        <w:tc>
          <w:tcPr>
            <w:tcW w:w="724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49D9D"/>
                <w:spacing w:val="-4"/>
                <w:sz w:val="24"/>
                <w:szCs w:val="24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imsun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D0E14"/>
    <w:rsid w:val="3FFD7536"/>
    <w:rsid w:val="476D0E14"/>
    <w:rsid w:val="F37F279A"/>
    <w:rsid w:val="FF76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1335</Words>
  <Characters>1353</Characters>
  <Lines>0</Lines>
  <Paragraphs>0</Paragraphs>
  <TotalTime>1</TotalTime>
  <ScaleCrop>false</ScaleCrop>
  <LinksUpToDate>false</LinksUpToDate>
  <CharactersWithSpaces>1431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2025-11-04T10:06:00Z</dcterms:created>
  <dc:creator>hss</dc:creator>
  <cp:lastModifiedBy>hss</cp:lastModifiedBy>
  <dcterms:modified xsi:type="dcterms:W3CDTF">2025-11-04T10:26:41Z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